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AE7CF">
      <w:pPr>
        <w:pStyle w:val="4"/>
        <w:widowControl w:val="0"/>
        <w:shd w:val="clear"/>
        <w:spacing w:before="0" w:beforeAutospacing="0" w:after="0" w:afterAutospacing="0" w:line="700" w:lineRule="exact"/>
        <w:ind w:right="74"/>
        <w:jc w:val="left"/>
        <w:rPr>
          <w:rFonts w:hint="eastAsia" w:ascii="黑体" w:hAnsi="黑体" w:eastAsia="黑体" w:cs="黑体"/>
          <w:b w:val="0"/>
          <w:bCs w:val="0"/>
          <w:color w:val="000000"/>
          <w:kern w:val="2"/>
          <w:sz w:val="32"/>
          <w:szCs w:val="32"/>
          <w:lang w:val="en-US" w:eastAsia="zh-CN"/>
        </w:rPr>
      </w:pPr>
    </w:p>
    <w:p w14:paraId="4B3EBDBE">
      <w:pPr>
        <w:pStyle w:val="4"/>
        <w:widowControl w:val="0"/>
        <w:shd w:val="clear"/>
        <w:spacing w:before="0" w:beforeAutospacing="0" w:after="0" w:afterAutospacing="0" w:line="700" w:lineRule="exact"/>
        <w:ind w:right="74"/>
        <w:jc w:val="center"/>
        <w:rPr>
          <w:rFonts w:hint="eastAsia" w:ascii="方正小标宋简体" w:hAnsi="黑体" w:eastAsia="方正小标宋简体" w:cs="黑体"/>
          <w:color w:val="000000"/>
          <w:sz w:val="42"/>
          <w:szCs w:val="44"/>
          <w:lang w:val="en-US" w:eastAsia="zh-CN"/>
        </w:rPr>
      </w:pPr>
      <w:r>
        <w:rPr>
          <w:rFonts w:hint="eastAsia" w:ascii="方正小标宋简体" w:hAnsi="黑体" w:eastAsia="方正小标宋简体" w:cs="黑体"/>
          <w:color w:val="000000"/>
          <w:kern w:val="2"/>
          <w:sz w:val="42"/>
          <w:szCs w:val="44"/>
        </w:rPr>
        <w:t>未来农业研究院</w:t>
      </w:r>
      <w:r>
        <w:rPr>
          <w:rFonts w:hint="eastAsia" w:ascii="方正小标宋简体" w:hAnsi="黑体" w:eastAsia="方正小标宋简体" w:cs="黑体"/>
          <w:color w:val="000000"/>
          <w:sz w:val="42"/>
          <w:szCs w:val="44"/>
          <w:lang w:eastAsia="zh-CN"/>
        </w:rPr>
        <w:t>202</w:t>
      </w:r>
      <w:r>
        <w:rPr>
          <w:rFonts w:hint="eastAsia" w:ascii="方正小标宋简体" w:hAnsi="黑体" w:eastAsia="方正小标宋简体" w:cs="黑体"/>
          <w:color w:val="000000"/>
          <w:sz w:val="42"/>
          <w:szCs w:val="44"/>
          <w:lang w:val="en-US" w:eastAsia="zh-CN"/>
        </w:rPr>
        <w:t>7</w:t>
      </w:r>
      <w:r>
        <w:rPr>
          <w:rFonts w:hint="eastAsia" w:ascii="方正小标宋简体" w:hAnsi="黑体" w:eastAsia="方正小标宋简体" w:cs="黑体"/>
          <w:color w:val="000000"/>
          <w:sz w:val="42"/>
          <w:szCs w:val="44"/>
        </w:rPr>
        <w:t>年</w:t>
      </w:r>
      <w:r>
        <w:rPr>
          <w:rFonts w:hint="eastAsia" w:ascii="方正小标宋简体" w:hAnsi="黑体" w:eastAsia="方正小标宋简体" w:cs="黑体"/>
          <w:color w:val="000000"/>
          <w:sz w:val="42"/>
          <w:szCs w:val="44"/>
          <w:lang w:val="en-US" w:eastAsia="zh-CN"/>
        </w:rPr>
        <w:t>遴选</w:t>
      </w:r>
    </w:p>
    <w:p w14:paraId="093BDFE7">
      <w:pPr>
        <w:pStyle w:val="4"/>
        <w:widowControl w:val="0"/>
        <w:shd w:val="clear"/>
        <w:spacing w:before="0" w:beforeAutospacing="0" w:after="0" w:afterAutospacing="0" w:line="700" w:lineRule="exact"/>
        <w:ind w:right="74"/>
        <w:jc w:val="center"/>
        <w:rPr>
          <w:rFonts w:hint="eastAsia" w:ascii="方正小标宋简体" w:hAnsi="黑体" w:eastAsia="方正小标宋简体" w:cs="黑体"/>
          <w:color w:val="000000"/>
          <w:sz w:val="42"/>
          <w:szCs w:val="44"/>
        </w:rPr>
      </w:pPr>
      <w:r>
        <w:rPr>
          <w:rFonts w:hint="eastAsia" w:ascii="方正小标宋简体" w:hAnsi="黑体" w:eastAsia="方正小标宋简体" w:cs="黑体"/>
          <w:color w:val="000000"/>
          <w:sz w:val="42"/>
          <w:szCs w:val="44"/>
        </w:rPr>
        <w:t>优秀应届本科毕业生免试攻读研究生工作</w:t>
      </w:r>
    </w:p>
    <w:p w14:paraId="11866992">
      <w:pPr>
        <w:pStyle w:val="4"/>
        <w:widowControl w:val="0"/>
        <w:shd w:val="clear"/>
        <w:spacing w:before="0" w:beforeAutospacing="0" w:after="0" w:afterAutospacing="0" w:line="700" w:lineRule="exact"/>
        <w:ind w:right="74"/>
        <w:jc w:val="center"/>
        <w:rPr>
          <w:rFonts w:ascii="黑体" w:hAnsi="黑体" w:eastAsia="方正小标宋简体" w:cs="仿宋_GB2312"/>
          <w:color w:val="000000"/>
          <w:sz w:val="32"/>
          <w:szCs w:val="32"/>
        </w:rPr>
      </w:pPr>
      <w:r>
        <w:rPr>
          <w:rFonts w:hint="eastAsia" w:ascii="方正小标宋简体" w:hAnsi="黑体" w:eastAsia="方正小标宋简体" w:cs="黑体"/>
          <w:color w:val="000000"/>
          <w:sz w:val="42"/>
          <w:szCs w:val="44"/>
        </w:rPr>
        <w:t>考查评分实施细则</w:t>
      </w:r>
    </w:p>
    <w:p w14:paraId="081F34FA">
      <w:pPr>
        <w:shd w:val="clear"/>
        <w:spacing w:line="600" w:lineRule="exact"/>
        <w:jc w:val="center"/>
        <w:rPr>
          <w:rFonts w:ascii="黑体" w:hAnsi="黑体" w:eastAsia="黑体" w:cs="仿宋_GB2312"/>
          <w:color w:val="000000"/>
          <w:sz w:val="32"/>
          <w:szCs w:val="32"/>
        </w:rPr>
      </w:pPr>
    </w:p>
    <w:p w14:paraId="2929A065">
      <w:pPr>
        <w:pStyle w:val="4"/>
        <w:widowControl w:val="0"/>
        <w:shd w:val="clear"/>
        <w:spacing w:before="0" w:beforeAutospacing="0" w:after="0" w:afterAutospacing="0" w:line="580" w:lineRule="exact"/>
        <w:ind w:right="74"/>
        <w:jc w:val="center"/>
        <w:rPr>
          <w:rFonts w:ascii="黑体" w:hAnsi="黑体" w:eastAsia="黑体" w:cs="Times New Roman"/>
          <w:b/>
          <w:color w:val="000000"/>
          <w:kern w:val="2"/>
          <w:sz w:val="32"/>
          <w:szCs w:val="32"/>
        </w:rPr>
      </w:pPr>
      <w:r>
        <w:rPr>
          <w:rFonts w:hint="eastAsia" w:ascii="黑体" w:hAnsi="黑体" w:eastAsia="黑体" w:cs="黑体"/>
          <w:color w:val="000000"/>
          <w:sz w:val="32"/>
          <w:szCs w:val="32"/>
        </w:rPr>
        <w:t>第一章</w:t>
      </w:r>
      <w:r>
        <w:rPr>
          <w:rFonts w:hint="eastAsia" w:ascii="黑体" w:hAnsi="黑体" w:eastAsia="黑体" w:cs="黑体"/>
          <w:b/>
          <w:color w:val="000000"/>
          <w:kern w:val="2"/>
          <w:sz w:val="32"/>
          <w:szCs w:val="32"/>
        </w:rPr>
        <w:t xml:space="preserve"> </w:t>
      </w:r>
      <w:r>
        <w:rPr>
          <w:rFonts w:hint="eastAsia" w:ascii="黑体" w:hAnsi="黑体" w:eastAsia="黑体" w:cs="黑体"/>
          <w:color w:val="000000"/>
          <w:sz w:val="32"/>
          <w:szCs w:val="32"/>
        </w:rPr>
        <w:t>总则</w:t>
      </w:r>
    </w:p>
    <w:p w14:paraId="1B39C16C">
      <w:pPr>
        <w:shd w:val="clear"/>
        <w:spacing w:line="580" w:lineRule="exact"/>
        <w:ind w:firstLine="630" w:firstLineChars="196"/>
        <w:rPr>
          <w:rFonts w:ascii="仿宋" w:hAnsi="仿宋" w:eastAsia="仿宋" w:cs="仿宋"/>
          <w:color w:val="000000"/>
          <w:sz w:val="32"/>
          <w:szCs w:val="32"/>
        </w:rPr>
      </w:pPr>
      <w:r>
        <w:rPr>
          <w:rFonts w:hint="eastAsia" w:ascii="仿宋" w:hAnsi="仿宋" w:eastAsia="仿宋" w:cs="仿宋"/>
          <w:b/>
          <w:bCs/>
          <w:color w:val="000000"/>
          <w:sz w:val="32"/>
          <w:szCs w:val="32"/>
        </w:rPr>
        <w:t>第一条</w:t>
      </w:r>
      <w:r>
        <w:rPr>
          <w:rFonts w:hint="eastAsia" w:ascii="仿宋" w:hAnsi="仿宋" w:eastAsia="仿宋" w:cs="仿宋"/>
          <w:color w:val="000000"/>
          <w:sz w:val="32"/>
          <w:szCs w:val="32"/>
        </w:rPr>
        <w:t xml:space="preserve">  为做好未来农业研究院（以下简称“</w:t>
      </w:r>
      <w:r>
        <w:rPr>
          <w:rFonts w:hint="eastAsia" w:ascii="仿宋" w:hAnsi="仿宋" w:eastAsia="仿宋" w:cs="仿宋"/>
          <w:color w:val="000000"/>
          <w:sz w:val="32"/>
          <w:szCs w:val="32"/>
          <w:lang w:val="en-US" w:eastAsia="zh-CN"/>
        </w:rPr>
        <w:t>未来院</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遴选</w:t>
      </w:r>
      <w:r>
        <w:rPr>
          <w:rFonts w:hint="eastAsia" w:ascii="仿宋" w:hAnsi="仿宋" w:eastAsia="仿宋" w:cs="仿宋"/>
          <w:color w:val="000000"/>
          <w:sz w:val="32"/>
          <w:szCs w:val="32"/>
        </w:rPr>
        <w:t>优秀应届本科毕业生免试攻读硕士学位研究生（以下简称“推免生”）考查评分工作，根据</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西北农林科技大学推荐优秀应届本科毕业生免试攻读研究生实施办法》（校研发〔2024〕236号）和《未来农业研究院</w:t>
      </w:r>
      <w:r>
        <w:rPr>
          <w:rFonts w:hint="eastAsia" w:ascii="仿宋" w:hAnsi="仿宋" w:eastAsia="仿宋" w:cs="仿宋"/>
          <w:color w:val="000000"/>
          <w:sz w:val="32"/>
          <w:szCs w:val="32"/>
          <w:lang w:eastAsia="zh-CN"/>
        </w:rPr>
        <w:t>202</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年推荐优秀应届本科毕业生免试攻读研究生工作实施细则》，本着公平、公正、公开的原则，特制定本细则。</w:t>
      </w:r>
    </w:p>
    <w:p w14:paraId="18B620D1">
      <w:pPr>
        <w:shd w:val="clear"/>
        <w:spacing w:line="580" w:lineRule="exact"/>
        <w:jc w:val="center"/>
        <w:rPr>
          <w:rFonts w:ascii="黑体" w:hAnsi="黑体" w:eastAsia="黑体" w:cs="仿宋_GB2312"/>
          <w:color w:val="000000"/>
          <w:sz w:val="32"/>
          <w:szCs w:val="32"/>
        </w:rPr>
      </w:pPr>
      <w:r>
        <w:rPr>
          <w:rFonts w:hint="eastAsia" w:ascii="黑体" w:hAnsi="黑体" w:eastAsia="黑体" w:cs="黑体"/>
          <w:color w:val="000000"/>
          <w:sz w:val="32"/>
          <w:szCs w:val="32"/>
        </w:rPr>
        <w:t>第二章</w:t>
      </w:r>
      <w:r>
        <w:rPr>
          <w:rFonts w:hint="eastAsia" w:ascii="黑体" w:hAnsi="黑体" w:eastAsia="黑体" w:cs="黑体"/>
          <w:b/>
          <w:color w:val="000000"/>
          <w:sz w:val="32"/>
          <w:szCs w:val="32"/>
        </w:rPr>
        <w:t xml:space="preserve"> </w:t>
      </w:r>
      <w:r>
        <w:rPr>
          <w:rFonts w:hint="eastAsia" w:ascii="黑体" w:hAnsi="黑体" w:eastAsia="黑体" w:cs="仿宋_GB2312"/>
          <w:color w:val="000000"/>
          <w:sz w:val="32"/>
          <w:szCs w:val="32"/>
        </w:rPr>
        <w:t>评分办法</w:t>
      </w:r>
    </w:p>
    <w:p w14:paraId="1F7D94CC">
      <w:pPr>
        <w:shd w:val="clear"/>
        <w:spacing w:line="580" w:lineRule="exact"/>
        <w:ind w:firstLine="643" w:firstLineChars="200"/>
        <w:rPr>
          <w:rFonts w:ascii="仿宋" w:hAnsi="仿宋" w:eastAsia="仿宋" w:cs="仿宋"/>
          <w:sz w:val="32"/>
          <w:szCs w:val="32"/>
          <w:highlight w:val="yellow"/>
        </w:rPr>
      </w:pPr>
      <w:r>
        <w:rPr>
          <w:rFonts w:hint="eastAsia" w:ascii="仿宋" w:hAnsi="仿宋" w:eastAsia="仿宋" w:cs="仿宋"/>
          <w:b/>
          <w:bCs/>
          <w:sz w:val="32"/>
          <w:szCs w:val="32"/>
        </w:rPr>
        <w:t>第二条</w:t>
      </w:r>
      <w:r>
        <w:rPr>
          <w:rFonts w:hint="eastAsia" w:ascii="仿宋" w:hAnsi="仿宋" w:eastAsia="仿宋" w:cs="仿宋"/>
          <w:sz w:val="32"/>
          <w:szCs w:val="32"/>
        </w:rPr>
        <w:t xml:space="preserve">  根据相关文件要求，</w:t>
      </w:r>
      <w:r>
        <w:rPr>
          <w:rFonts w:hint="eastAsia" w:ascii="仿宋" w:hAnsi="仿宋" w:eastAsia="仿宋" w:cs="仿宋"/>
          <w:sz w:val="32"/>
          <w:szCs w:val="32"/>
          <w:lang w:eastAsia="zh-CN"/>
        </w:rPr>
        <w:t>未来院</w:t>
      </w:r>
      <w:r>
        <w:rPr>
          <w:rFonts w:hint="eastAsia" w:ascii="仿宋" w:hAnsi="仿宋" w:eastAsia="仿宋" w:cs="仿宋"/>
          <w:sz w:val="32"/>
          <w:szCs w:val="32"/>
        </w:rPr>
        <w:t>对相关学院符合基本条件的本科毕业生从思想政治品德、学业成绩、科研潜质等三个方面进行综合考核。考核总成绩满分为100分，其中思想政治品德考核成绩占总成绩的10%、学业成绩占总成绩的40%、科研潜质考核成绩占总成绩的50%。</w:t>
      </w:r>
    </w:p>
    <w:p w14:paraId="0FE0CE07">
      <w:pPr>
        <w:shd w:val="clea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综合成绩的计算公式如下：</w:t>
      </w:r>
    </w:p>
    <w:p w14:paraId="43E3F756">
      <w:pPr>
        <w:shd w:val="clea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综合成绩（满分100分）=思想政治品德考核成绩×10%+学业成绩×40%+科研潜质考核成绩×50%。</w:t>
      </w:r>
    </w:p>
    <w:p w14:paraId="4F399375">
      <w:pPr>
        <w:shd w:val="clear"/>
        <w:spacing w:line="580" w:lineRule="exact"/>
        <w:ind w:firstLine="643" w:firstLineChars="200"/>
        <w:rPr>
          <w:rFonts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思想政治品德考核成绩（A）满分为100分，由思政课成绩与综合测评德育成绩两部分组成，各占50%。其中，思政课成绩为大学期间所有思政课成绩的加权平均分，综合测评德育成绩为各学年综合测评德育成绩的算术平均分。思想政治品德考核成绩由学生所在党委（党总支）出具。</w:t>
      </w:r>
    </w:p>
    <w:p w14:paraId="74C4C74F">
      <w:pPr>
        <w:shd w:val="clear"/>
        <w:spacing w:after="156" w:afterLines="50" w:line="58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思想政治品德考核成绩60分及以上的学生方具备推免生遴选资格。计算办法如下：</w:t>
      </w:r>
    </w:p>
    <w:p w14:paraId="009CF3B7">
      <w:pPr>
        <w:shd w:val="clear"/>
        <w:ind w:firstLine="641" w:firstLineChars="304"/>
        <w:rPr>
          <w:rFonts w:hint="eastAsia" w:ascii="仿宋" w:hAnsi="仿宋" w:eastAsia="仿宋" w:cs="仿宋"/>
          <w:b/>
          <w:bCs/>
        </w:rPr>
      </w:pPr>
      <w:r>
        <w:rPr>
          <w:rFonts w:hint="eastAsia" w:ascii="仿宋" w:hAnsi="仿宋" w:eastAsia="仿宋" w:cs="仿宋"/>
          <w:b/>
          <w:bCs/>
        </w:rPr>
        <w:drawing>
          <wp:inline distT="0" distB="0" distL="114300" distR="114300">
            <wp:extent cx="5255895" cy="523240"/>
            <wp:effectExtent l="0" t="0" r="1905" b="1079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4"/>
                    <a:stretch>
                      <a:fillRect/>
                    </a:stretch>
                  </pic:blipFill>
                  <pic:spPr>
                    <a:xfrm>
                      <a:off x="0" y="0"/>
                      <a:ext cx="5255895" cy="523240"/>
                    </a:xfrm>
                    <a:prstGeom prst="rect">
                      <a:avLst/>
                    </a:prstGeom>
                    <a:noFill/>
                    <a:ln>
                      <a:noFill/>
                    </a:ln>
                  </pic:spPr>
                </pic:pic>
              </a:graphicData>
            </a:graphic>
          </wp:inline>
        </w:drawing>
      </w:r>
    </w:p>
    <w:p w14:paraId="1025A377">
      <w:pPr>
        <w:shd w:val="clear"/>
        <w:ind w:firstLine="729" w:firstLineChars="304"/>
        <w:rPr>
          <w:rFonts w:hint="default" w:ascii="仿宋" w:hAnsi="仿宋" w:eastAsia="仿宋" w:cs="仿宋"/>
          <w:b/>
          <w:bCs/>
          <w:sz w:val="24"/>
          <w:szCs w:val="24"/>
          <w:lang w:val="en-US" w:eastAsia="zh-CN"/>
        </w:rPr>
      </w:pPr>
      <w:r>
        <w:rPr>
          <w:rFonts w:hint="eastAsia" w:ascii="仿宋" w:hAnsi="仿宋" w:eastAsia="仿宋" w:cs="仿宋"/>
          <w:b w:val="0"/>
          <w:bCs w:val="0"/>
          <w:sz w:val="24"/>
          <w:szCs w:val="24"/>
          <w:lang w:val="en-US" w:eastAsia="zh-CN"/>
        </w:rPr>
        <w:t>注：综测德育成绩满分为10分，采用此公式。</w:t>
      </w:r>
    </w:p>
    <w:p w14:paraId="21913534">
      <w:pPr>
        <w:shd w:val="clear"/>
        <w:ind w:firstLine="641" w:firstLineChars="304"/>
        <w:rPr>
          <w:rFonts w:hint="eastAsia" w:ascii="仿宋" w:hAnsi="仿宋" w:eastAsia="仿宋" w:cs="仿宋"/>
          <w:b/>
          <w:bCs/>
          <w:lang w:val="en-US" w:eastAsia="zh-CN"/>
        </w:rPr>
      </w:pPr>
    </w:p>
    <w:p w14:paraId="65563E2C">
      <w:pPr>
        <w:shd w:val="clear"/>
        <w:ind w:firstLine="729" w:firstLineChars="304"/>
        <w:rPr>
          <w:rFonts w:hint="default" w:ascii="仿宋" w:hAnsi="仿宋" w:eastAsia="仿宋" w:cs="仿宋"/>
          <w:b/>
          <w:bCs/>
          <w:lang w:val="en-US" w:eastAsia="zh-CN"/>
        </w:rPr>
      </w:pPr>
      <w:r>
        <w:rPr>
          <w:sz w:val="24"/>
          <w:szCs w:val="24"/>
        </w:rPr>
        <w:drawing>
          <wp:inline distT="0" distB="0" distL="0" distR="0">
            <wp:extent cx="5219700" cy="523240"/>
            <wp:effectExtent l="0" t="0" r="0" b="10795"/>
            <wp:docPr id="20719485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48535"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r="26545"/>
                    <a:stretch>
                      <a:fillRect/>
                    </a:stretch>
                  </pic:blipFill>
                  <pic:spPr>
                    <a:xfrm>
                      <a:off x="0" y="0"/>
                      <a:ext cx="5219700" cy="523240"/>
                    </a:xfrm>
                    <a:prstGeom prst="rect">
                      <a:avLst/>
                    </a:prstGeom>
                    <a:noFill/>
                    <a:ln>
                      <a:noFill/>
                    </a:ln>
                  </pic:spPr>
                </pic:pic>
              </a:graphicData>
            </a:graphic>
          </wp:inline>
        </w:drawing>
      </w:r>
    </w:p>
    <w:p w14:paraId="04F2C5DA">
      <w:pPr>
        <w:shd w:val="clear"/>
        <w:ind w:firstLine="729" w:firstLineChars="304"/>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注：综测德育成绩满分为50分，采用此公式。</w:t>
      </w:r>
    </w:p>
    <w:p w14:paraId="1CADBC02">
      <w:pPr>
        <w:shd w:val="clear"/>
        <w:ind w:firstLine="641" w:firstLineChars="304"/>
        <w:rPr>
          <w:rFonts w:hint="eastAsia" w:ascii="仿宋" w:hAnsi="仿宋" w:eastAsia="仿宋" w:cs="仿宋"/>
          <w:b/>
          <w:bCs/>
          <w:lang w:eastAsia="zh-CN"/>
        </w:rPr>
      </w:pPr>
    </w:p>
    <w:p w14:paraId="11B1C4C1">
      <w:pPr>
        <w:shd w:val="clear"/>
        <w:spacing w:line="580" w:lineRule="exact"/>
        <w:ind w:firstLine="643" w:firstLineChars="200"/>
        <w:rPr>
          <w:rFonts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学业成绩满分为100分，由学生所在学院按照教务处相关办法统一换算认定。</w:t>
      </w:r>
    </w:p>
    <w:p w14:paraId="24BA33B8">
      <w:pPr>
        <w:shd w:val="clear"/>
        <w:spacing w:line="580" w:lineRule="exact"/>
        <w:ind w:firstLine="643" w:firstLineChars="200"/>
        <w:rPr>
          <w:rFonts w:ascii="仿宋" w:hAnsi="仿宋" w:eastAsia="仿宋" w:cs="仿宋"/>
          <w:sz w:val="32"/>
          <w:szCs w:val="32"/>
          <w:highlight w:val="yellow"/>
        </w:rPr>
      </w:pPr>
      <w:r>
        <w:rPr>
          <w:rFonts w:hint="eastAsia" w:ascii="仿宋" w:hAnsi="仿宋" w:eastAsia="仿宋" w:cs="仿宋"/>
          <w:b/>
          <w:bCs/>
          <w:sz w:val="32"/>
          <w:szCs w:val="32"/>
        </w:rPr>
        <w:t>第五条</w:t>
      </w:r>
      <w:r>
        <w:rPr>
          <w:rFonts w:hint="eastAsia" w:ascii="仿宋" w:hAnsi="仿宋" w:eastAsia="仿宋" w:cs="仿宋"/>
          <w:sz w:val="32"/>
          <w:szCs w:val="32"/>
        </w:rPr>
        <w:t xml:space="preserve">  科研潜质满分为100分，综合考量学生科研基本素养，主要包括科研能力评价和科研潜质加分两部分。具体考核办法如下：</w:t>
      </w:r>
    </w:p>
    <w:p w14:paraId="440EA2B8">
      <w:pPr>
        <w:shd w:val="clea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1.科研能力评价（50分）</w:t>
      </w:r>
    </w:p>
    <w:p w14:paraId="0B820044">
      <w:pPr>
        <w:shd w:val="clear"/>
        <w:spacing w:line="58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由推免生科研能力评价小组进行评价，主要考核外语表达能力、文献阅读能力、专业知识、创新能力、科研水平等</w:t>
      </w:r>
      <w:r>
        <w:rPr>
          <w:rFonts w:hint="eastAsia" w:ascii="仿宋" w:hAnsi="仿宋" w:eastAsia="仿宋" w:cs="仿宋"/>
          <w:sz w:val="32"/>
          <w:szCs w:val="32"/>
          <w:lang w:eastAsia="zh-CN"/>
        </w:rPr>
        <w:t>。</w:t>
      </w:r>
    </w:p>
    <w:p w14:paraId="7DB5C049">
      <w:pPr>
        <w:shd w:val="clear"/>
        <w:spacing w:line="580" w:lineRule="exact"/>
        <w:ind w:firstLine="640" w:firstLineChars="200"/>
        <w:rPr>
          <w:rFonts w:ascii="仿宋" w:hAnsi="仿宋" w:eastAsia="仿宋" w:cs="仿宋"/>
          <w:sz w:val="32"/>
          <w:szCs w:val="32"/>
        </w:rPr>
      </w:pPr>
      <w:r>
        <w:rPr>
          <w:rFonts w:hint="eastAsia" w:ascii="仿宋" w:hAnsi="仿宋" w:eastAsia="仿宋" w:cs="仿宋"/>
          <w:color w:val="000000"/>
          <w:sz w:val="32"/>
          <w:szCs w:val="32"/>
        </w:rPr>
        <w:t>2.</w:t>
      </w:r>
      <w:r>
        <w:rPr>
          <w:rFonts w:hint="eastAsia" w:ascii="仿宋" w:hAnsi="仿宋" w:eastAsia="仿宋" w:cs="仿宋"/>
          <w:sz w:val="32"/>
          <w:szCs w:val="32"/>
        </w:rPr>
        <w:t>科研潜质加分（50分）</w:t>
      </w:r>
    </w:p>
    <w:p w14:paraId="10E65A85">
      <w:pPr>
        <w:shd w:val="clea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综合考量学生科研基本素养，主要包括国际组织实习、应征入伍、外语水平、科技竞赛、学术研究以及发明及专利等，具体加分内容见附件。</w:t>
      </w:r>
    </w:p>
    <w:p w14:paraId="40E0C72E">
      <w:pPr>
        <w:shd w:val="clear"/>
        <w:spacing w:line="580" w:lineRule="exact"/>
        <w:ind w:firstLine="643" w:firstLineChars="200"/>
        <w:rPr>
          <w:rFonts w:ascii="仿宋" w:hAnsi="仿宋" w:eastAsia="仿宋" w:cs="仿宋"/>
          <w:color w:val="000000"/>
          <w:sz w:val="32"/>
          <w:szCs w:val="32"/>
        </w:rPr>
      </w:pPr>
      <w:r>
        <w:rPr>
          <w:rFonts w:hint="eastAsia" w:ascii="仿宋" w:hAnsi="仿宋" w:eastAsia="仿宋" w:cs="仿宋"/>
          <w:b/>
          <w:bCs/>
          <w:sz w:val="32"/>
          <w:szCs w:val="32"/>
        </w:rPr>
        <w:t>第六条</w:t>
      </w:r>
      <w:r>
        <w:rPr>
          <w:rFonts w:hint="eastAsia" w:ascii="仿宋" w:hAnsi="仿宋" w:eastAsia="仿宋" w:cs="仿宋"/>
          <w:sz w:val="32"/>
          <w:szCs w:val="32"/>
        </w:rPr>
        <w:t xml:space="preserve">  </w:t>
      </w:r>
      <w:r>
        <w:rPr>
          <w:rFonts w:hint="eastAsia" w:ascii="仿宋" w:hAnsi="仿宋" w:eastAsia="仿宋" w:cs="仿宋"/>
          <w:sz w:val="32"/>
          <w:szCs w:val="32"/>
          <w:lang w:eastAsia="zh-CN"/>
        </w:rPr>
        <w:t>推免生遴选工作组</w:t>
      </w:r>
      <w:r>
        <w:rPr>
          <w:rFonts w:hint="eastAsia" w:ascii="仿宋" w:hAnsi="仿宋" w:eastAsia="仿宋" w:cs="仿宋"/>
          <w:sz w:val="32"/>
          <w:szCs w:val="32"/>
        </w:rPr>
        <w:t>按照总成绩由高到低排名，并依据推荐指标数</w:t>
      </w:r>
      <w:r>
        <w:rPr>
          <w:rFonts w:hint="eastAsia" w:ascii="仿宋" w:hAnsi="仿宋" w:eastAsia="仿宋" w:cs="仿宋"/>
          <w:color w:val="000000"/>
          <w:sz w:val="32"/>
          <w:szCs w:val="32"/>
        </w:rPr>
        <w:t>确定初选名单。初选名单需</w:t>
      </w:r>
      <w:r>
        <w:rPr>
          <w:rFonts w:hint="eastAsia" w:ascii="仿宋" w:hAnsi="仿宋" w:eastAsia="仿宋" w:cs="仿宋"/>
          <w:color w:val="000000"/>
          <w:sz w:val="32"/>
          <w:szCs w:val="32"/>
          <w:lang w:eastAsia="zh-CN"/>
        </w:rPr>
        <w:t>在未来院</w:t>
      </w:r>
      <w:r>
        <w:rPr>
          <w:rFonts w:hint="eastAsia" w:ascii="仿宋" w:hAnsi="仿宋" w:eastAsia="仿宋" w:cs="仿宋"/>
          <w:color w:val="000000"/>
          <w:sz w:val="32"/>
          <w:szCs w:val="32"/>
        </w:rPr>
        <w:t>公示不少于3日。公示无异议后，将初选名单连同有关材料报送研究生院。</w:t>
      </w:r>
    </w:p>
    <w:p w14:paraId="40CE2F98">
      <w:pPr>
        <w:shd w:val="clear"/>
        <w:spacing w:line="580" w:lineRule="exact"/>
        <w:jc w:val="center"/>
        <w:rPr>
          <w:rFonts w:ascii="仿宋" w:hAnsi="仿宋" w:eastAsia="仿宋" w:cs="仿宋"/>
          <w:color w:val="000000"/>
          <w:sz w:val="32"/>
          <w:szCs w:val="32"/>
        </w:rPr>
      </w:pPr>
      <w:r>
        <w:rPr>
          <w:rFonts w:hint="eastAsia" w:ascii="黑体" w:hAnsi="黑体" w:eastAsia="黑体" w:cs="仿宋_GB2312"/>
          <w:sz w:val="32"/>
          <w:szCs w:val="32"/>
        </w:rPr>
        <w:t>第三章 其</w:t>
      </w: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rPr>
        <w:t>他</w:t>
      </w:r>
    </w:p>
    <w:p w14:paraId="4161364A">
      <w:pPr>
        <w:shd w:val="clear"/>
        <w:adjustRightInd w:val="0"/>
        <w:spacing w:line="580" w:lineRule="exact"/>
        <w:ind w:firstLine="643" w:firstLineChars="200"/>
        <w:jc w:val="left"/>
        <w:rPr>
          <w:rFonts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本细则未尽事宜，由</w:t>
      </w:r>
      <w:r>
        <w:rPr>
          <w:rFonts w:hint="eastAsia" w:ascii="仿宋" w:hAnsi="仿宋" w:eastAsia="仿宋" w:cs="仿宋"/>
          <w:sz w:val="32"/>
          <w:szCs w:val="32"/>
          <w:lang w:eastAsia="zh-CN"/>
        </w:rPr>
        <w:t>未来院推免生遴选工作组</w:t>
      </w:r>
      <w:r>
        <w:rPr>
          <w:rFonts w:hint="eastAsia" w:ascii="仿宋" w:hAnsi="仿宋" w:eastAsia="仿宋" w:cs="仿宋"/>
          <w:sz w:val="32"/>
          <w:szCs w:val="32"/>
        </w:rPr>
        <w:t>负责解释。</w:t>
      </w:r>
    </w:p>
    <w:p w14:paraId="58A3B06F">
      <w:pPr>
        <w:shd w:val="clear"/>
        <w:spacing w:line="580" w:lineRule="exact"/>
        <w:ind w:firstLine="640" w:firstLineChars="200"/>
        <w:rPr>
          <w:rFonts w:ascii="仿宋" w:hAnsi="仿宋" w:eastAsia="仿宋" w:cs="仿宋"/>
          <w:sz w:val="32"/>
          <w:szCs w:val="32"/>
        </w:rPr>
      </w:pPr>
    </w:p>
    <w:p w14:paraId="26C5594F">
      <w:pPr>
        <w:shd w:val="clear"/>
        <w:rPr>
          <w:rFonts w:ascii="仿宋" w:hAnsi="仿宋" w:eastAsia="仿宋" w:cs="仿宋"/>
          <w:sz w:val="32"/>
          <w:szCs w:val="32"/>
        </w:rPr>
        <w:sectPr>
          <w:pgSz w:w="11906" w:h="16838"/>
          <w:pgMar w:top="2098" w:right="1474" w:bottom="1984" w:left="1587" w:header="851" w:footer="992" w:gutter="0"/>
          <w:cols w:space="425" w:num="1"/>
          <w:docGrid w:type="lines" w:linePitch="312" w:charSpace="0"/>
        </w:sectPr>
      </w:pPr>
    </w:p>
    <w:p w14:paraId="65403F0D">
      <w:pPr>
        <w:widowControl/>
        <w:shd w:val="clear"/>
        <w:snapToGrid w:val="0"/>
        <w:spacing w:before="156" w:beforeLines="50" w:after="156" w:afterLines="50" w:line="300" w:lineRule="auto"/>
        <w:jc w:val="left"/>
        <w:rPr>
          <w:rFonts w:ascii="黑体" w:hAnsi="黑体" w:eastAsia="黑体" w:cs="黑体"/>
          <w:sz w:val="32"/>
          <w:szCs w:val="32"/>
        </w:rPr>
      </w:pPr>
      <w:r>
        <w:rPr>
          <w:rFonts w:hint="eastAsia" w:ascii="黑体" w:hAnsi="黑体" w:eastAsia="黑体" w:cs="黑体"/>
          <w:sz w:val="32"/>
          <w:szCs w:val="32"/>
        </w:rPr>
        <w:t>附件：</w:t>
      </w:r>
    </w:p>
    <w:tbl>
      <w:tblPr>
        <w:tblStyle w:val="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2139"/>
        <w:gridCol w:w="5789"/>
      </w:tblGrid>
      <w:tr w14:paraId="6510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blHeader/>
          <w:jc w:val="center"/>
        </w:trPr>
        <w:tc>
          <w:tcPr>
            <w:tcW w:w="729" w:type="pct"/>
            <w:vAlign w:val="center"/>
          </w:tcPr>
          <w:p w14:paraId="740D327C">
            <w:pPr>
              <w:widowControl/>
              <w:snapToGrid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考核指标</w:t>
            </w:r>
          </w:p>
        </w:tc>
        <w:tc>
          <w:tcPr>
            <w:tcW w:w="4270" w:type="pct"/>
            <w:gridSpan w:val="2"/>
            <w:vAlign w:val="center"/>
          </w:tcPr>
          <w:p w14:paraId="49167E73">
            <w:pPr>
              <w:widowControl/>
              <w:snapToGrid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加分项目</w:t>
            </w:r>
          </w:p>
        </w:tc>
      </w:tr>
      <w:tr w14:paraId="023F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9" w:type="pct"/>
            <w:vAlign w:val="center"/>
          </w:tcPr>
          <w:p w14:paraId="2E6DB4F1">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国际组织实习</w:t>
            </w:r>
          </w:p>
          <w:p w14:paraId="4C2D4ED6">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分）</w:t>
            </w:r>
          </w:p>
        </w:tc>
        <w:tc>
          <w:tcPr>
            <w:tcW w:w="4270" w:type="pct"/>
            <w:gridSpan w:val="2"/>
            <w:vAlign w:val="center"/>
          </w:tcPr>
          <w:p w14:paraId="7E3DF1F6">
            <w:pPr>
              <w:widowControl/>
              <w:snapToGrid w:val="0"/>
              <w:ind w:firstLine="480" w:firstLineChars="200"/>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在校期间申请到国际组织实习（含连续三个月以上访学），每次加1分，累计加分不超过</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分。</w:t>
            </w:r>
          </w:p>
        </w:tc>
      </w:tr>
      <w:tr w14:paraId="5739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9" w:type="pct"/>
            <w:vAlign w:val="center"/>
          </w:tcPr>
          <w:p w14:paraId="3273433F">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参军入伍</w:t>
            </w:r>
          </w:p>
          <w:p w14:paraId="568EE292">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（5分）</w:t>
            </w:r>
          </w:p>
        </w:tc>
        <w:tc>
          <w:tcPr>
            <w:tcW w:w="4270" w:type="pct"/>
            <w:gridSpan w:val="2"/>
            <w:vAlign w:val="center"/>
          </w:tcPr>
          <w:p w14:paraId="63D1C729">
            <w:pPr>
              <w:widowControl/>
              <w:snapToGrid w:val="0"/>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在校期间积极响应国家应征入伍政策，有相应经历加5分。</w:t>
            </w:r>
          </w:p>
        </w:tc>
      </w:tr>
      <w:tr w14:paraId="5FDA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jc w:val="center"/>
        </w:trPr>
        <w:tc>
          <w:tcPr>
            <w:tcW w:w="729" w:type="pct"/>
            <w:vAlign w:val="center"/>
          </w:tcPr>
          <w:p w14:paraId="6B586F64">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综合发展</w:t>
            </w:r>
          </w:p>
          <w:p w14:paraId="3D9F02D4">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（5分）</w:t>
            </w:r>
          </w:p>
        </w:tc>
        <w:tc>
          <w:tcPr>
            <w:tcW w:w="4270" w:type="pct"/>
            <w:gridSpan w:val="2"/>
            <w:vAlign w:val="center"/>
          </w:tcPr>
          <w:p w14:paraId="30D293AD">
            <w:pPr>
              <w:widowControl/>
              <w:snapToGrid w:val="0"/>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（1）获得校级及以上党政部门颁发的优秀共产党员称号，按照国家级3分、省级2分、校级1分依次加分；</w:t>
            </w:r>
          </w:p>
          <w:p w14:paraId="0EF8BDCA">
            <w:pPr>
              <w:widowControl/>
              <w:snapToGrid w:val="0"/>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（2）获得校级及以上党政部门颁发的优秀团员或者优秀学生（团）干部</w:t>
            </w:r>
            <w:r>
              <w:rPr>
                <w:rFonts w:hint="eastAsia" w:asciiTheme="minorEastAsia" w:hAnsiTheme="minorEastAsia" w:eastAsiaTheme="minorEastAsia" w:cstheme="minorEastAsia"/>
                <w:sz w:val="24"/>
                <w:szCs w:val="24"/>
                <w:lang w:val="en-US" w:eastAsia="zh-CN"/>
              </w:rPr>
              <w:t>称号</w:t>
            </w:r>
            <w:r>
              <w:rPr>
                <w:rFonts w:hint="eastAsia" w:asciiTheme="minorEastAsia" w:hAnsiTheme="minorEastAsia" w:eastAsiaTheme="minorEastAsia" w:cstheme="minorEastAsia"/>
                <w:sz w:val="24"/>
                <w:szCs w:val="24"/>
              </w:rPr>
              <w:t>，按照国家级3分、省级2分、校级1分依次加分；</w:t>
            </w:r>
          </w:p>
          <w:p w14:paraId="28F444C4">
            <w:pPr>
              <w:widowControl/>
              <w:snapToGrid w:val="0"/>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（3）获得校级及以上社会实践先进个人（标兵）、优秀志愿者荣誉称号，按照国家级3分、省级2分、校级1分依次加分。</w:t>
            </w:r>
          </w:p>
          <w:p w14:paraId="637F4F1A">
            <w:pPr>
              <w:widowControl/>
              <w:snapToGrid w:val="0"/>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所获荣誉经</w:t>
            </w:r>
            <w:r>
              <w:rPr>
                <w:rFonts w:hint="eastAsia" w:asciiTheme="minorEastAsia" w:hAnsiTheme="minorEastAsia" w:eastAsiaTheme="minorEastAsia" w:cstheme="minorEastAsia"/>
                <w:sz w:val="24"/>
                <w:szCs w:val="24"/>
                <w:lang w:eastAsia="zh-CN"/>
              </w:rPr>
              <w:t>推免生遴选工作组</w:t>
            </w:r>
            <w:r>
              <w:rPr>
                <w:rFonts w:hint="eastAsia" w:asciiTheme="minorEastAsia" w:hAnsiTheme="minorEastAsia" w:eastAsiaTheme="minorEastAsia" w:cstheme="minorEastAsia"/>
                <w:sz w:val="24"/>
                <w:szCs w:val="24"/>
              </w:rPr>
              <w:t>认定，即可加分。以上荣誉同一类型不重复加分，按最高成绩计算。累计加分不超过5分。</w:t>
            </w:r>
          </w:p>
        </w:tc>
      </w:tr>
      <w:tr w14:paraId="5806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9" w:type="pct"/>
            <w:vAlign w:val="center"/>
          </w:tcPr>
          <w:p w14:paraId="759D8FD5">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科研训练</w:t>
            </w:r>
          </w:p>
          <w:p w14:paraId="1ABF2C23">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（2分）</w:t>
            </w:r>
          </w:p>
        </w:tc>
        <w:tc>
          <w:tcPr>
            <w:tcW w:w="4270" w:type="pct"/>
            <w:gridSpan w:val="2"/>
            <w:vAlign w:val="center"/>
          </w:tcPr>
          <w:p w14:paraId="3BA89BEB">
            <w:pPr>
              <w:widowControl/>
              <w:snapToGrid w:val="0"/>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参与创新创业项目加1分，各类项目均不重复计分。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含院级创新创业项目，如“启航计划”</w:t>
            </w:r>
            <w:r>
              <w:rPr>
                <w:rFonts w:hint="eastAsia" w:asciiTheme="minorEastAsia" w:hAnsiTheme="minorEastAsia" w:eastAsiaTheme="minorEastAsia" w:cstheme="minorEastAsia"/>
                <w:sz w:val="24"/>
                <w:szCs w:val="24"/>
                <w:lang w:eastAsia="zh-CN"/>
              </w:rPr>
              <w:t>）</w:t>
            </w:r>
          </w:p>
        </w:tc>
      </w:tr>
      <w:tr w14:paraId="5826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9" w:type="pct"/>
            <w:vMerge w:val="restart"/>
            <w:vAlign w:val="center"/>
          </w:tcPr>
          <w:p w14:paraId="6DC2C08F">
            <w:pPr>
              <w:widowControl/>
              <w:snapToGrid w:val="0"/>
              <w:jc w:val="center"/>
              <w:rPr>
                <w:rFonts w:asciiTheme="minorEastAsia" w:hAnsiTheme="minorEastAsia" w:eastAsiaTheme="minorEastAsia" w:cstheme="minorEastAsia"/>
                <w:sz w:val="24"/>
                <w:szCs w:val="24"/>
              </w:rPr>
            </w:pPr>
          </w:p>
          <w:p w14:paraId="5CB6A743">
            <w:pPr>
              <w:widowControl/>
              <w:snapToGrid w:val="0"/>
              <w:jc w:val="center"/>
              <w:rPr>
                <w:rFonts w:asciiTheme="minorEastAsia" w:hAnsiTheme="minorEastAsia" w:eastAsiaTheme="minorEastAsia" w:cstheme="minorEastAsia"/>
                <w:sz w:val="24"/>
                <w:szCs w:val="24"/>
              </w:rPr>
            </w:pPr>
          </w:p>
          <w:p w14:paraId="2815CBA1">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外语水平</w:t>
            </w:r>
          </w:p>
          <w:p w14:paraId="2F597A9C">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（10分）</w:t>
            </w:r>
          </w:p>
          <w:p w14:paraId="58EAB165">
            <w:pPr>
              <w:widowControl/>
              <w:snapToGrid w:val="0"/>
              <w:rPr>
                <w:rFonts w:asciiTheme="minorEastAsia" w:hAnsiTheme="minorEastAsia" w:eastAsiaTheme="minorEastAsia" w:cstheme="minorEastAsia"/>
                <w:sz w:val="24"/>
                <w:szCs w:val="24"/>
              </w:rPr>
            </w:pPr>
          </w:p>
        </w:tc>
        <w:tc>
          <w:tcPr>
            <w:tcW w:w="1152" w:type="pct"/>
            <w:vMerge w:val="restart"/>
            <w:vAlign w:val="center"/>
          </w:tcPr>
          <w:p w14:paraId="3F4C625B">
            <w:pPr>
              <w:widowControl/>
              <w:snapToGrid w:val="0"/>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外语水平认定经</w:t>
            </w:r>
            <w:r>
              <w:rPr>
                <w:rFonts w:hint="eastAsia" w:asciiTheme="minorEastAsia" w:hAnsiTheme="minorEastAsia" w:eastAsiaTheme="minorEastAsia" w:cstheme="minorEastAsia"/>
                <w:sz w:val="24"/>
                <w:szCs w:val="24"/>
                <w:lang w:eastAsia="zh-CN"/>
              </w:rPr>
              <w:t>推免生遴选工作组</w:t>
            </w:r>
            <w:r>
              <w:rPr>
                <w:rFonts w:hint="eastAsia" w:asciiTheme="minorEastAsia" w:hAnsiTheme="minorEastAsia" w:eastAsiaTheme="minorEastAsia" w:cstheme="minorEastAsia"/>
                <w:sz w:val="24"/>
                <w:szCs w:val="24"/>
              </w:rPr>
              <w:t>认定，即可加分。同一类型不重复加分，按最高成绩计算。</w:t>
            </w:r>
          </w:p>
        </w:tc>
        <w:tc>
          <w:tcPr>
            <w:tcW w:w="3117" w:type="pct"/>
            <w:vAlign w:val="center"/>
          </w:tcPr>
          <w:p w14:paraId="58D6DBC3">
            <w:pPr>
              <w:widowControl/>
              <w:snapToGrid w:val="0"/>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全国英语六级考试成绩在425分到479分加2分；480分到499分加3分；500分到549分加4分；550分到599分加5分；600分到649分加8分；650分以上者加10分。</w:t>
            </w:r>
          </w:p>
        </w:tc>
      </w:tr>
      <w:tr w14:paraId="4B66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9" w:type="pct"/>
            <w:vMerge w:val="continue"/>
            <w:vAlign w:val="center"/>
          </w:tcPr>
          <w:p w14:paraId="6197D025">
            <w:pPr>
              <w:widowControl/>
              <w:snapToGrid w:val="0"/>
              <w:jc w:val="center"/>
              <w:rPr>
                <w:rFonts w:asciiTheme="minorEastAsia" w:hAnsiTheme="minorEastAsia" w:eastAsiaTheme="minorEastAsia" w:cstheme="minorEastAsia"/>
                <w:sz w:val="24"/>
                <w:szCs w:val="24"/>
              </w:rPr>
            </w:pPr>
          </w:p>
        </w:tc>
        <w:tc>
          <w:tcPr>
            <w:tcW w:w="1152" w:type="pct"/>
            <w:vMerge w:val="continue"/>
            <w:vAlign w:val="center"/>
          </w:tcPr>
          <w:p w14:paraId="78DD4B42">
            <w:pPr>
              <w:widowControl/>
              <w:snapToGrid w:val="0"/>
              <w:ind w:firstLine="480" w:firstLineChars="200"/>
              <w:rPr>
                <w:rFonts w:asciiTheme="minorEastAsia" w:hAnsiTheme="minorEastAsia" w:eastAsiaTheme="minorEastAsia" w:cstheme="minorEastAsia"/>
                <w:sz w:val="24"/>
                <w:szCs w:val="24"/>
              </w:rPr>
            </w:pPr>
          </w:p>
        </w:tc>
        <w:tc>
          <w:tcPr>
            <w:tcW w:w="3117" w:type="pct"/>
            <w:vAlign w:val="center"/>
          </w:tcPr>
          <w:p w14:paraId="18DC6E50">
            <w:pPr>
              <w:widowControl/>
              <w:snapToGrid w:val="0"/>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雅思成绩（有效期两年内）6.5分加2分，7.0及以上者加3分；托福成绩（有效期两年内）90分及以上100分以下加2分，100分及以上加3分；GRE（有效期两年内）310分及以上加2分，320分及以上加3分。不重复加分，按最高成绩计算。</w:t>
            </w:r>
          </w:p>
          <w:p w14:paraId="45C877CD">
            <w:pPr>
              <w:widowControl/>
              <w:snapToGrid w:val="0"/>
              <w:ind w:firstLine="480" w:firstLineChars="200"/>
              <w:rPr>
                <w:rFonts w:asciiTheme="minorEastAsia" w:hAnsiTheme="minorEastAsia" w:eastAsiaTheme="minorEastAsia" w:cstheme="minorEastAsia"/>
                <w:sz w:val="24"/>
                <w:szCs w:val="24"/>
              </w:rPr>
            </w:pPr>
          </w:p>
        </w:tc>
      </w:tr>
      <w:tr w14:paraId="3164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9" w:type="pct"/>
            <w:vAlign w:val="center"/>
          </w:tcPr>
          <w:p w14:paraId="3FDB7CB6">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科技竞赛</w:t>
            </w:r>
          </w:p>
          <w:p w14:paraId="44F96B26">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（10分）</w:t>
            </w:r>
          </w:p>
        </w:tc>
        <w:tc>
          <w:tcPr>
            <w:tcW w:w="4270" w:type="pct"/>
            <w:gridSpan w:val="2"/>
            <w:vAlign w:val="center"/>
          </w:tcPr>
          <w:p w14:paraId="005CDA24">
            <w:pPr>
              <w:widowControl/>
              <w:snapToGrid w:val="0"/>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获得国家级（含国际级）学科竞赛A类特等、一等（金奖）、二等奖（银奖）和三等奖（铜奖），分别加5分、4分、3分和2分（团体项目得分均分给前五名参与者）；</w:t>
            </w:r>
          </w:p>
          <w:p w14:paraId="50D28B3C">
            <w:pPr>
              <w:widowControl/>
              <w:snapToGrid w:val="0"/>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获得国家级（含国际级）学科竞赛B类特等、一等（金奖）、二等奖（银奖）和三等奖（铜奖），分别加4分、3分、2分和1分（团体项目得分均分给前三名参与者）；</w:t>
            </w:r>
          </w:p>
          <w:p w14:paraId="513B6A29">
            <w:pPr>
              <w:widowControl/>
              <w:snapToGrid w:val="0"/>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获得国家级（含国际级）学科竞赛C类特等、一等（金奖）、二等奖（银奖）和三等奖（铜奖），分别加3分、2分、1分和0.5分（团体项目得分均分给前三名参与者）。</w:t>
            </w:r>
          </w:p>
          <w:p w14:paraId="4E57BF62">
            <w:pPr>
              <w:widowControl/>
              <w:snapToGrid w:val="0"/>
              <w:ind w:firstLine="482"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rPr>
              <w:t>同一成果参加竞赛，按最高成绩计算，累计加分不超过10分。</w:t>
            </w:r>
          </w:p>
        </w:tc>
      </w:tr>
      <w:tr w14:paraId="0AF9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9" w:type="pct"/>
            <w:vAlign w:val="center"/>
          </w:tcPr>
          <w:p w14:paraId="76820739">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学术研究</w:t>
            </w:r>
          </w:p>
          <w:p w14:paraId="43834580">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分）</w:t>
            </w:r>
          </w:p>
        </w:tc>
        <w:tc>
          <w:tcPr>
            <w:tcW w:w="4270" w:type="pct"/>
            <w:gridSpan w:val="2"/>
            <w:vAlign w:val="center"/>
          </w:tcPr>
          <w:p w14:paraId="70000BF1">
            <w:pPr>
              <w:widowControl/>
              <w:snapToGrid w:val="0"/>
              <w:ind w:firstLine="480" w:firstLineChars="200"/>
              <w:jc w:val="left"/>
              <w:rPr>
                <w:sz w:val="24"/>
              </w:rPr>
            </w:pPr>
            <w:r>
              <w:rPr>
                <w:sz w:val="24"/>
              </w:rPr>
              <w:t>以主持人身份获批大学生创新创业训练计划项目</w:t>
            </w:r>
            <w:r>
              <w:rPr>
                <w:rFonts w:hint="eastAsia"/>
                <w:sz w:val="24"/>
              </w:rPr>
              <w:t>且结题</w:t>
            </w:r>
            <w:r>
              <w:rPr>
                <w:sz w:val="24"/>
              </w:rPr>
              <w:t>，国家级加3分（参与者加2分），省级加2分（参与者加1分），校级加1分（参与者加0.5分）；课题结题考核等级为优秀者，</w:t>
            </w:r>
            <w:r>
              <w:rPr>
                <w:rFonts w:hint="eastAsia" w:asciiTheme="minorEastAsia" w:hAnsiTheme="minorEastAsia" w:eastAsiaTheme="minorEastAsia" w:cstheme="minorEastAsia"/>
                <w:sz w:val="24"/>
              </w:rPr>
              <w:t>额外加</w:t>
            </w:r>
            <w:r>
              <w:rPr>
                <w:rFonts w:asciiTheme="minorEastAsia" w:hAnsiTheme="minorEastAsia" w:eastAsiaTheme="minorEastAsia" w:cstheme="minorEastAsia"/>
                <w:sz w:val="24"/>
              </w:rPr>
              <w:t>2</w:t>
            </w:r>
            <w:r>
              <w:rPr>
                <w:rFonts w:hint="eastAsia" w:asciiTheme="minorEastAsia" w:hAnsiTheme="minorEastAsia" w:eastAsiaTheme="minorEastAsia" w:cstheme="minorEastAsia"/>
                <w:sz w:val="24"/>
              </w:rPr>
              <w:t>分</w:t>
            </w:r>
            <w:r>
              <w:rPr>
                <w:sz w:val="24"/>
              </w:rPr>
              <w:t>，同一类型</w:t>
            </w:r>
            <w:r>
              <w:rPr>
                <w:rFonts w:hint="eastAsia"/>
                <w:sz w:val="24"/>
              </w:rPr>
              <w:t>或</w:t>
            </w:r>
            <w:r>
              <w:rPr>
                <w:sz w:val="24"/>
              </w:rPr>
              <w:t>项目不累计加分；文章署名第一单位为西北农林科技大学，在SCI期刊上发表</w:t>
            </w:r>
            <w:r>
              <w:rPr>
                <w:rFonts w:hint="eastAsia"/>
                <w:sz w:val="24"/>
              </w:rPr>
              <w:t>生物学科研究</w:t>
            </w:r>
            <w:r>
              <w:rPr>
                <w:sz w:val="24"/>
              </w:rPr>
              <w:t>论文</w:t>
            </w:r>
            <w:r>
              <w:rPr>
                <w:rFonts w:hint="eastAsia"/>
                <w:sz w:val="24"/>
              </w:rPr>
              <w:t>并提供真实的科研记录和原始数据</w:t>
            </w:r>
            <w:r>
              <w:rPr>
                <w:sz w:val="24"/>
              </w:rPr>
              <w:t>，</w:t>
            </w:r>
            <w:r>
              <w:rPr>
                <w:rFonts w:hint="eastAsia"/>
                <w:sz w:val="24"/>
              </w:rPr>
              <w:t>中科院大类</w:t>
            </w:r>
            <w:r>
              <w:rPr>
                <w:sz w:val="24"/>
              </w:rPr>
              <w:t>1</w:t>
            </w:r>
            <w:r>
              <w:rPr>
                <w:rFonts w:hint="eastAsia"/>
                <w:sz w:val="24"/>
              </w:rPr>
              <w:t>区及以上的</w:t>
            </w:r>
            <w:r>
              <w:rPr>
                <w:sz w:val="24"/>
              </w:rPr>
              <w:t>第一</w:t>
            </w:r>
            <w:r>
              <w:rPr>
                <w:rFonts w:hint="eastAsia"/>
                <w:sz w:val="24"/>
              </w:rPr>
              <w:t>作者、第二作者和第三作者</w:t>
            </w:r>
            <w:r>
              <w:rPr>
                <w:sz w:val="24"/>
              </w:rPr>
              <w:t>每篇分别加5</w:t>
            </w:r>
            <w:r>
              <w:rPr>
                <w:rFonts w:hint="eastAsia"/>
                <w:sz w:val="24"/>
              </w:rPr>
              <w:t>、3、</w:t>
            </w:r>
            <w:r>
              <w:rPr>
                <w:sz w:val="24"/>
              </w:rPr>
              <w:t>2分</w:t>
            </w:r>
            <w:r>
              <w:rPr>
                <w:rFonts w:hint="eastAsia"/>
                <w:sz w:val="24"/>
              </w:rPr>
              <w:t>；中科院大类</w:t>
            </w:r>
            <w:r>
              <w:rPr>
                <w:sz w:val="24"/>
              </w:rPr>
              <w:t>2</w:t>
            </w:r>
            <w:r>
              <w:rPr>
                <w:rFonts w:hint="eastAsia"/>
                <w:sz w:val="24"/>
              </w:rPr>
              <w:t>区的</w:t>
            </w:r>
            <w:r>
              <w:rPr>
                <w:sz w:val="24"/>
              </w:rPr>
              <w:t>第一</w:t>
            </w:r>
            <w:r>
              <w:rPr>
                <w:rFonts w:hint="eastAsia"/>
                <w:sz w:val="24"/>
              </w:rPr>
              <w:t>作者、第二作者和第三作者</w:t>
            </w:r>
            <w:r>
              <w:rPr>
                <w:sz w:val="24"/>
              </w:rPr>
              <w:t>每篇分别加4</w:t>
            </w:r>
            <w:r>
              <w:rPr>
                <w:rFonts w:hint="eastAsia"/>
                <w:sz w:val="24"/>
              </w:rPr>
              <w:t>、</w:t>
            </w:r>
            <w:r>
              <w:rPr>
                <w:sz w:val="24"/>
              </w:rPr>
              <w:t>2</w:t>
            </w:r>
            <w:r>
              <w:rPr>
                <w:rFonts w:hint="eastAsia"/>
                <w:sz w:val="24"/>
              </w:rPr>
              <w:t>、</w:t>
            </w:r>
            <w:r>
              <w:rPr>
                <w:sz w:val="24"/>
              </w:rPr>
              <w:t>1分</w:t>
            </w:r>
            <w:r>
              <w:rPr>
                <w:rFonts w:hint="eastAsia"/>
                <w:sz w:val="24"/>
              </w:rPr>
              <w:t>；其它S</w:t>
            </w:r>
            <w:r>
              <w:rPr>
                <w:sz w:val="24"/>
              </w:rPr>
              <w:t>CI</w:t>
            </w:r>
            <w:r>
              <w:rPr>
                <w:rFonts w:hint="eastAsia"/>
                <w:sz w:val="24"/>
              </w:rPr>
              <w:t>论文的</w:t>
            </w:r>
            <w:r>
              <w:rPr>
                <w:sz w:val="24"/>
              </w:rPr>
              <w:t>第一作者</w:t>
            </w:r>
            <w:r>
              <w:rPr>
                <w:rFonts w:hint="eastAsia"/>
                <w:sz w:val="24"/>
              </w:rPr>
              <w:t>和第二作者每篇分别加</w:t>
            </w:r>
            <w:r>
              <w:rPr>
                <w:sz w:val="24"/>
              </w:rPr>
              <w:t>2</w:t>
            </w:r>
            <w:r>
              <w:rPr>
                <w:rFonts w:hint="eastAsia"/>
                <w:sz w:val="24"/>
              </w:rPr>
              <w:t>和1分；</w:t>
            </w:r>
            <w:r>
              <w:rPr>
                <w:sz w:val="24"/>
              </w:rPr>
              <w:t>在EI或中文核心期刊上发表</w:t>
            </w:r>
            <w:r>
              <w:rPr>
                <w:rFonts w:hint="eastAsia"/>
                <w:sz w:val="24"/>
              </w:rPr>
              <w:t>研究</w:t>
            </w:r>
            <w:r>
              <w:rPr>
                <w:sz w:val="24"/>
              </w:rPr>
              <w:t>论文</w:t>
            </w:r>
            <w:r>
              <w:rPr>
                <w:rFonts w:hint="eastAsia"/>
                <w:sz w:val="24"/>
              </w:rPr>
              <w:t>的</w:t>
            </w:r>
            <w:r>
              <w:rPr>
                <w:sz w:val="24"/>
              </w:rPr>
              <w:t>第一作者每篇加</w:t>
            </w:r>
            <w:r>
              <w:rPr>
                <w:rFonts w:hint="eastAsia"/>
                <w:sz w:val="24"/>
              </w:rPr>
              <w:t>1分。</w:t>
            </w:r>
            <w:r>
              <w:rPr>
                <w:sz w:val="24"/>
              </w:rPr>
              <w:t>共同第一作者</w:t>
            </w:r>
            <w:r>
              <w:rPr>
                <w:rFonts w:hint="eastAsia"/>
                <w:sz w:val="24"/>
              </w:rPr>
              <w:t>按第二作计。</w:t>
            </w:r>
          </w:p>
          <w:p w14:paraId="398164A3">
            <w:pPr>
              <w:widowControl/>
              <w:snapToGrid w:val="0"/>
              <w:ind w:firstLine="482" w:firstLineChars="200"/>
              <w:jc w:val="left"/>
              <w:rPr>
                <w:rFonts w:asciiTheme="minorEastAsia" w:hAnsiTheme="minorEastAsia" w:eastAsiaTheme="minorEastAsia" w:cstheme="minorEastAsia"/>
                <w:sz w:val="24"/>
                <w:szCs w:val="24"/>
              </w:rPr>
            </w:pPr>
            <w:r>
              <w:rPr>
                <w:b/>
                <w:bCs/>
                <w:sz w:val="24"/>
              </w:rPr>
              <w:t>累计加分不超过</w:t>
            </w:r>
            <w:r>
              <w:rPr>
                <w:rFonts w:hint="eastAsia"/>
                <w:b/>
                <w:bCs/>
                <w:sz w:val="24"/>
              </w:rPr>
              <w:t>10</w:t>
            </w:r>
            <w:r>
              <w:rPr>
                <w:b/>
                <w:bCs/>
                <w:sz w:val="24"/>
              </w:rPr>
              <w:t>分。</w:t>
            </w:r>
            <w:r>
              <w:rPr>
                <w:rFonts w:hint="eastAsia"/>
                <w:b/>
                <w:bCs/>
                <w:sz w:val="24"/>
              </w:rPr>
              <w:t>无真实科研记录和原始数据的不加分</w:t>
            </w:r>
            <w:r>
              <w:rPr>
                <w:rFonts w:hint="eastAsia" w:asciiTheme="minorEastAsia" w:hAnsiTheme="minorEastAsia" w:eastAsiaTheme="minorEastAsia" w:cstheme="minorEastAsia"/>
                <w:b/>
                <w:bCs/>
                <w:sz w:val="24"/>
              </w:rPr>
              <w:t>。</w:t>
            </w:r>
          </w:p>
        </w:tc>
      </w:tr>
      <w:tr w14:paraId="6169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9" w:type="pct"/>
            <w:vAlign w:val="center"/>
          </w:tcPr>
          <w:p w14:paraId="6D5486A3">
            <w:pPr>
              <w:widowControl/>
              <w:snapToGrid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发明及专利（</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w:t>
            </w:r>
          </w:p>
        </w:tc>
        <w:tc>
          <w:tcPr>
            <w:tcW w:w="4270" w:type="pct"/>
            <w:gridSpan w:val="2"/>
            <w:vAlign w:val="center"/>
          </w:tcPr>
          <w:p w14:paraId="3A63CFAD">
            <w:pPr>
              <w:widowControl/>
              <w:snapToGrid w:val="0"/>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以第一完成人申请并获国家授权发明专利，正式获批科技发明专利每项加1分。累计加分不超过</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w:t>
            </w:r>
          </w:p>
        </w:tc>
      </w:tr>
    </w:tbl>
    <w:p w14:paraId="0FDCFEC2">
      <w:pPr>
        <w:widowControl/>
        <w:shd w:val="clear"/>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p>
    <w:p w14:paraId="43C8497B">
      <w:pPr>
        <w:widowControl/>
        <w:shd w:val="clear"/>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1.科研潜质考核加分项按表格内容加分计算，同一项目加分就高不就低，不重复加分。</w:t>
      </w:r>
    </w:p>
    <w:p w14:paraId="16DF4E52">
      <w:pPr>
        <w:widowControl/>
        <w:shd w:val="clear"/>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2.学生发表的学术论文、获奖成果、国家专利等，都必须是本人在学期间以西北农林科技大学为第一署名单位发表或者获得。学术论文必须公开发表或已收到正式接收函。</w:t>
      </w:r>
    </w:p>
    <w:p w14:paraId="65385CB4">
      <w:pPr>
        <w:widowControl/>
        <w:shd w:val="clear"/>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3.综合发展加分项必须是本人在学校期间获得的荣誉奖励。</w:t>
      </w:r>
    </w:p>
    <w:p w14:paraId="1960E2BB">
      <w:pPr>
        <w:widowControl/>
        <w:shd w:val="clear"/>
        <w:snapToGrid w:val="0"/>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4.</w:t>
      </w:r>
      <w:r>
        <w:rPr>
          <w:rFonts w:hint="eastAsia" w:asciiTheme="minorEastAsia" w:hAnsiTheme="minorEastAsia" w:eastAsiaTheme="minorEastAsia" w:cstheme="minorEastAsia"/>
          <w:sz w:val="24"/>
          <w:lang w:val="en-US" w:eastAsia="zh-CN"/>
        </w:rPr>
        <w:t>申请人应对所提交材料（包括证书、论文首页、论文接收函等）的真实性负责。我院成立专家组进行审核，凡发现学术</w:t>
      </w:r>
      <w:bookmarkStart w:id="0" w:name="_GoBack"/>
      <w:bookmarkEnd w:id="0"/>
      <w:r>
        <w:rPr>
          <w:rFonts w:hint="eastAsia" w:asciiTheme="minorEastAsia" w:hAnsiTheme="minorEastAsia" w:eastAsiaTheme="minorEastAsia" w:cstheme="minorEastAsia"/>
          <w:sz w:val="24"/>
          <w:lang w:val="en-US" w:eastAsia="zh-CN"/>
        </w:rPr>
        <w:t>不端行为并经查实的，取消申请资格，并按学校有关规定处理。</w:t>
      </w:r>
    </w:p>
    <w:p w14:paraId="69E906A9">
      <w:pPr>
        <w:widowControl/>
        <w:shd w:val="clear"/>
        <w:snapToGrid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5.科研加分累计不超过50分。</w:t>
      </w:r>
    </w:p>
    <w:p w14:paraId="4FAAFA9F">
      <w:pPr>
        <w:shd w:val="clear"/>
        <w:rPr>
          <w:rFonts w:hint="eastAsia" w:asciiTheme="minorEastAsia" w:hAnsiTheme="minorEastAsia" w:eastAsiaTheme="minorEastAsia" w:cstheme="minorEastAsia"/>
          <w:sz w:val="24"/>
        </w:rPr>
      </w:pPr>
    </w:p>
    <w:p w14:paraId="5A6AFF64">
      <w:pPr>
        <w:shd w:val="clear"/>
        <w:rPr>
          <w:rFonts w:hint="eastAsia" w:asciiTheme="minorEastAsia" w:hAnsiTheme="minorEastAsia" w:eastAsiaTheme="minorEastAsia" w:cstheme="minorEastAsia"/>
          <w:sz w:val="24"/>
        </w:rPr>
        <w:sectPr>
          <w:pgSz w:w="11906" w:h="16838"/>
          <w:pgMar w:top="1417" w:right="1417" w:bottom="1417" w:left="1417" w:header="851" w:footer="992" w:gutter="0"/>
          <w:cols w:space="425" w:num="1"/>
          <w:docGrid w:type="lines" w:linePitch="312" w:charSpace="0"/>
        </w:sectPr>
      </w:pPr>
    </w:p>
    <w:p w14:paraId="014CEE32">
      <w:pPr>
        <w:widowControl/>
        <w:shd w:val="clear"/>
        <w:snapToGrid w:val="0"/>
        <w:spacing w:before="156" w:beforeLines="50" w:after="156" w:afterLines="50" w:line="300" w:lineRule="auto"/>
        <w:jc w:val="left"/>
        <w:rPr>
          <w:rFonts w:hint="default" w:ascii="黑体" w:hAnsi="黑体" w:eastAsia="黑体" w:cs="黑体"/>
          <w:sz w:val="32"/>
          <w:szCs w:val="32"/>
          <w:lang w:val="en-US" w:eastAsia="zh-CN"/>
        </w:rPr>
      </w:pPr>
    </w:p>
    <w:sectPr>
      <w:pgSz w:w="11906" w:h="16838"/>
      <w:pgMar w:top="1417" w:right="1417" w:bottom="130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A4F59F-74AD-4502-A353-E7D48FF6D7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C2900F03-8B44-4944-809E-C0E872D528E0}"/>
  </w:font>
  <w:font w:name="方正小标宋简体">
    <w:panose1 w:val="02010600010101010101"/>
    <w:charset w:val="86"/>
    <w:family w:val="auto"/>
    <w:pitch w:val="default"/>
    <w:sig w:usb0="00000001" w:usb1="080E0000" w:usb2="00000000" w:usb3="00000000" w:csb0="00040000" w:csb1="00000000"/>
    <w:embedRegular r:id="rId3" w:fontKey="{9D72A5B5-675E-44D6-B461-A78A81498C68}"/>
  </w:font>
  <w:font w:name="仿宋_GB2312">
    <w:panose1 w:val="02010609030101010101"/>
    <w:charset w:val="86"/>
    <w:family w:val="auto"/>
    <w:pitch w:val="default"/>
    <w:sig w:usb0="00000001" w:usb1="080E0000" w:usb2="00000000" w:usb3="00000000" w:csb0="00040000" w:csb1="00000000"/>
    <w:embedRegular r:id="rId4" w:fontKey="{1F1C17A4-A1B6-4D42-AA61-3570F475071D}"/>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hNjQzOGJkYTNkNGY0Yjc0NmM4ZTQxYWIzOTZmZDIifQ=="/>
  </w:docVars>
  <w:rsids>
    <w:rsidRoot w:val="63DE42F0"/>
    <w:rsid w:val="003473C0"/>
    <w:rsid w:val="0089265C"/>
    <w:rsid w:val="00ED1FD7"/>
    <w:rsid w:val="06F43030"/>
    <w:rsid w:val="08E45B7E"/>
    <w:rsid w:val="0D1A5EEC"/>
    <w:rsid w:val="0E105B9A"/>
    <w:rsid w:val="10551B0C"/>
    <w:rsid w:val="152A6E09"/>
    <w:rsid w:val="15676529"/>
    <w:rsid w:val="1715228A"/>
    <w:rsid w:val="1928707D"/>
    <w:rsid w:val="1E5F1C7C"/>
    <w:rsid w:val="21FF3775"/>
    <w:rsid w:val="22CF3E57"/>
    <w:rsid w:val="235D20D1"/>
    <w:rsid w:val="2493413D"/>
    <w:rsid w:val="27F136FF"/>
    <w:rsid w:val="28AA7A54"/>
    <w:rsid w:val="2AB96BA1"/>
    <w:rsid w:val="2B896071"/>
    <w:rsid w:val="2F6E09B8"/>
    <w:rsid w:val="33CE7E8F"/>
    <w:rsid w:val="341A1AD0"/>
    <w:rsid w:val="3F1A4911"/>
    <w:rsid w:val="43FD3546"/>
    <w:rsid w:val="46AF5DDC"/>
    <w:rsid w:val="478A025C"/>
    <w:rsid w:val="4CB4635D"/>
    <w:rsid w:val="5C4A6EEC"/>
    <w:rsid w:val="626C1123"/>
    <w:rsid w:val="62A44DBF"/>
    <w:rsid w:val="63DE42F0"/>
    <w:rsid w:val="659D5881"/>
    <w:rsid w:val="689D59CE"/>
    <w:rsid w:val="696B2DC5"/>
    <w:rsid w:val="69EC5555"/>
    <w:rsid w:val="6AFB2FDC"/>
    <w:rsid w:val="6EE77131"/>
    <w:rsid w:val="7096718C"/>
    <w:rsid w:val="72482539"/>
    <w:rsid w:val="78DA1160"/>
    <w:rsid w:val="79DA4020"/>
    <w:rsid w:val="7A35442A"/>
    <w:rsid w:val="7AB00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paragraph" w:customStyle="1" w:styleId="8">
    <w:name w:val="p15"/>
    <w:basedOn w:val="1"/>
    <w:qFormat/>
    <w:uiPriority w:val="0"/>
    <w:pPr>
      <w:widowControl/>
      <w:spacing w:after="120"/>
      <w:ind w:left="420"/>
    </w:pPr>
    <w:rPr>
      <w:kern w:val="0"/>
      <w:szCs w:val="21"/>
    </w:rPr>
  </w:style>
  <w:style w:type="character" w:customStyle="1" w:styleId="9">
    <w:name w:val="批注框文本 Char"/>
    <w:basedOn w:val="6"/>
    <w:link w:val="2"/>
    <w:qFormat/>
    <w:uiPriority w:val="0"/>
    <w:rPr>
      <w:rFonts w:ascii="Times New Roman" w:hAnsi="Times New Roman" w:eastAsia="宋体" w:cs="Times New Roman"/>
      <w:kern w:val="2"/>
      <w:sz w:val="18"/>
      <w:szCs w:val="18"/>
    </w:rPr>
  </w:style>
  <w:style w:type="character" w:customStyle="1" w:styleId="10">
    <w:name w:val="font41"/>
    <w:basedOn w:val="6"/>
    <w:qFormat/>
    <w:uiPriority w:val="0"/>
    <w:rPr>
      <w:rFonts w:hint="eastAsia" w:ascii="宋体" w:hAnsi="宋体" w:eastAsia="宋体" w:cs="宋体"/>
      <w:color w:val="000000"/>
      <w:sz w:val="24"/>
      <w:szCs w:val="24"/>
      <w:u w:val="none"/>
    </w:rPr>
  </w:style>
  <w:style w:type="character" w:customStyle="1" w:styleId="11">
    <w:name w:val="font51"/>
    <w:basedOn w:val="6"/>
    <w:qFormat/>
    <w:uiPriority w:val="0"/>
    <w:rPr>
      <w:rFonts w:hint="eastAsia" w:ascii="宋体" w:hAnsi="宋体" w:eastAsia="宋体" w:cs="宋体"/>
      <w:color w:val="000000"/>
      <w:sz w:val="24"/>
      <w:szCs w:val="24"/>
      <w:u w:val="none"/>
    </w:rPr>
  </w:style>
  <w:style w:type="character" w:customStyle="1" w:styleId="12">
    <w:name w:val="font61"/>
    <w:basedOn w:val="6"/>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989</Words>
  <Characters>1033</Characters>
  <Lines>17</Lines>
  <Paragraphs>4</Paragraphs>
  <TotalTime>2</TotalTime>
  <ScaleCrop>false</ScaleCrop>
  <LinksUpToDate>false</LinksUpToDate>
  <CharactersWithSpaces>1052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2021-09-03T10:56:00Z</dcterms:created>
  <dc:creator>杨军</dc:creator>
  <cp:lastModifiedBy>亲爱的不一一</cp:lastModifiedBy>
  <cp:lastPrinted>2025-09-10T03:34:00Z</cp:lastPrinted>
  <dcterms:modified xsi:type="dcterms:W3CDTF">2026-09-07T13:30:45Z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649001DEE37649759AE995191FA19299</vt:lpwstr>
  </property>
  <property fmtid="{D5CDD505-2E9C-101B-9397-08002B2CF9AE}" pid="4" name="KSOTemplateDocerSaveRecord">
    <vt:lpwstr>eyJoZGlkIjoiYjk0NTg2M2RjMWE2ZTIwYTlmZTEzZGZmMzUwOTRiZTAiLCJ1c2VySWQiOiI0OTgyMDY3NzMifQ==</vt:lpwstr>
  </property>
</Properties>
</file>