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56C2A">
      <w:pPr>
        <w:widowControl/>
        <w:snapToGrid w:val="0"/>
        <w:spacing w:before="156" w:beforeLines="50" w:after="156" w:afterLines="50" w:line="300" w:lineRule="auto"/>
        <w:ind w:firstLine="640" w:firstLineChars="200"/>
        <w:jc w:val="left"/>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w:t>
      </w:r>
    </w:p>
    <w:p w14:paraId="040609D2">
      <w:pPr>
        <w:widowControl/>
        <w:snapToGrid w:val="0"/>
        <w:spacing w:before="156" w:beforeLines="50"/>
        <w:jc w:val="center"/>
        <w:rPr>
          <w:rFonts w:hint="eastAsia" w:ascii="黑体" w:hAnsi="黑体" w:eastAsia="黑体" w:cs="黑体"/>
          <w:sz w:val="44"/>
          <w:szCs w:val="44"/>
        </w:rPr>
      </w:pPr>
      <w:r>
        <w:rPr>
          <w:rFonts w:hint="eastAsia" w:ascii="黑体" w:hAnsi="黑体" w:eastAsia="黑体" w:cs="黑体"/>
          <w:sz w:val="44"/>
          <w:szCs w:val="44"/>
        </w:rPr>
        <w:t>科研潜质加分清单</w:t>
      </w:r>
    </w:p>
    <w:p w14:paraId="60A8506B">
      <w:pPr>
        <w:widowControl/>
        <w:snapToGrid w:val="0"/>
        <w:spacing w:before="156" w:beforeLines="50"/>
        <w:rPr>
          <w:rFonts w:ascii="黑体" w:hAnsi="黑体" w:eastAsia="黑体" w:cs="黑体"/>
          <w:sz w:val="28"/>
          <w:szCs w:val="28"/>
          <w:u w:val="single"/>
        </w:rPr>
      </w:pPr>
      <w:r>
        <w:rPr>
          <w:rFonts w:hint="eastAsia" w:ascii="黑体" w:hAnsi="黑体" w:eastAsia="黑体" w:cs="黑体"/>
          <w:sz w:val="28"/>
          <w:szCs w:val="28"/>
        </w:rPr>
        <w:t>所在学院：</w:t>
      </w:r>
      <w:r>
        <w:rPr>
          <w:rFonts w:hint="eastAsia" w:ascii="黑体" w:hAnsi="黑体" w:eastAsia="黑体" w:cs="黑体"/>
          <w:sz w:val="28"/>
          <w:szCs w:val="28"/>
          <w:u w:val="single"/>
        </w:rPr>
        <w:t xml:space="preserve">             </w:t>
      </w:r>
      <w:r>
        <w:rPr>
          <w:rFonts w:hint="eastAsia" w:ascii="黑体" w:hAnsi="黑体" w:eastAsia="黑体" w:cs="黑体"/>
          <w:sz w:val="28"/>
          <w:szCs w:val="28"/>
        </w:rPr>
        <w:t>专业班级：</w:t>
      </w:r>
      <w:r>
        <w:rPr>
          <w:rFonts w:hint="eastAsia" w:ascii="黑体" w:hAnsi="黑体" w:eastAsia="黑体" w:cs="黑体"/>
          <w:sz w:val="28"/>
          <w:szCs w:val="28"/>
          <w:u w:val="single"/>
        </w:rPr>
        <w:t xml:space="preserve">          </w:t>
      </w:r>
      <w:r>
        <w:rPr>
          <w:rFonts w:hint="eastAsia" w:ascii="黑体" w:hAnsi="黑体" w:eastAsia="黑体" w:cs="黑体"/>
          <w:sz w:val="28"/>
          <w:szCs w:val="28"/>
        </w:rPr>
        <w:t>姓名：</w:t>
      </w:r>
      <w:r>
        <w:rPr>
          <w:rFonts w:hint="eastAsia" w:ascii="黑体" w:hAnsi="黑体" w:eastAsia="黑体" w:cs="黑体"/>
          <w:sz w:val="28"/>
          <w:szCs w:val="28"/>
          <w:u w:val="single"/>
        </w:rPr>
        <w:t xml:space="preserve">          </w:t>
      </w:r>
      <w:r>
        <w:rPr>
          <w:rFonts w:hint="eastAsia" w:ascii="黑体" w:hAnsi="黑体" w:eastAsia="黑体" w:cs="黑体"/>
          <w:sz w:val="28"/>
          <w:szCs w:val="28"/>
        </w:rPr>
        <w:t>学号：</w:t>
      </w:r>
      <w:r>
        <w:rPr>
          <w:rFonts w:hint="eastAsia" w:ascii="黑体" w:hAnsi="黑体" w:eastAsia="黑体" w:cs="黑体"/>
          <w:sz w:val="28"/>
          <w:szCs w:val="28"/>
          <w:u w:val="single"/>
        </w:rPr>
        <w:t xml:space="preserve">            </w:t>
      </w:r>
      <w:r>
        <w:rPr>
          <w:rFonts w:hint="eastAsia" w:ascii="黑体" w:hAnsi="黑体" w:eastAsia="黑体" w:cs="黑体"/>
          <w:sz w:val="28"/>
          <w:szCs w:val="28"/>
        </w:rPr>
        <w:t>联系电话：</w:t>
      </w:r>
      <w:r>
        <w:rPr>
          <w:rFonts w:hint="eastAsia" w:ascii="黑体" w:hAnsi="黑体" w:eastAsia="黑体" w:cs="黑体"/>
          <w:sz w:val="28"/>
          <w:szCs w:val="28"/>
          <w:u w:val="single"/>
        </w:rPr>
        <w:t xml:space="preserve">              </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3"/>
        <w:gridCol w:w="1931"/>
        <w:gridCol w:w="5220"/>
        <w:gridCol w:w="3753"/>
        <w:gridCol w:w="2084"/>
      </w:tblGrid>
      <w:tr w14:paraId="6510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blHeader/>
          <w:jc w:val="center"/>
        </w:trPr>
        <w:tc>
          <w:tcPr>
            <w:tcW w:w="430" w:type="pct"/>
            <w:vAlign w:val="center"/>
          </w:tcPr>
          <w:p w14:paraId="740D327C">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2515" w:type="pct"/>
            <w:gridSpan w:val="2"/>
            <w:vAlign w:val="center"/>
          </w:tcPr>
          <w:p w14:paraId="49167E73">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c>
          <w:tcPr>
            <w:tcW w:w="1320" w:type="pct"/>
            <w:vAlign w:val="center"/>
          </w:tcPr>
          <w:p w14:paraId="504CCC72">
            <w:pPr>
              <w:widowControl/>
              <w:snapToGrid w:val="0"/>
              <w:jc w:val="center"/>
              <w:rPr>
                <w:rFonts w:hint="default" w:asciiTheme="minorEastAsia" w:hAnsiTheme="minorEastAsia" w:eastAsiaTheme="minorEastAsia" w:cstheme="minorEastAsia"/>
                <w:b/>
                <w:bCs/>
                <w:sz w:val="24"/>
                <w:lang w:val="en-US" w:eastAsia="zh-CN"/>
              </w:rPr>
            </w:pPr>
            <w:r>
              <w:rPr>
                <w:rFonts w:hint="eastAsia" w:asciiTheme="minorEastAsia" w:hAnsiTheme="minorEastAsia" w:eastAsiaTheme="minorEastAsia" w:cstheme="minorEastAsia"/>
                <w:b/>
                <w:bCs/>
                <w:sz w:val="24"/>
                <w:lang w:val="en-US" w:eastAsia="zh-CN"/>
              </w:rPr>
              <w:t>本人对应的加分项明细（附证明）</w:t>
            </w:r>
          </w:p>
        </w:tc>
        <w:tc>
          <w:tcPr>
            <w:tcW w:w="733" w:type="pct"/>
            <w:vAlign w:val="center"/>
          </w:tcPr>
          <w:p w14:paraId="5281006D">
            <w:pPr>
              <w:widowControl/>
              <w:snapToGrid w:val="0"/>
              <w:jc w:val="center"/>
              <w:rPr>
                <w:rFonts w:hint="default" w:asciiTheme="minorEastAsia" w:hAnsiTheme="minorEastAsia" w:eastAsiaTheme="minorEastAsia" w:cstheme="minorEastAsia"/>
                <w:b/>
                <w:bCs/>
                <w:sz w:val="24"/>
                <w:lang w:val="en-US" w:eastAsia="zh-CN"/>
              </w:rPr>
            </w:pPr>
            <w:r>
              <w:rPr>
                <w:rFonts w:hint="eastAsia" w:asciiTheme="minorEastAsia" w:hAnsiTheme="minorEastAsia" w:eastAsiaTheme="minorEastAsia" w:cstheme="minorEastAsia"/>
                <w:b/>
                <w:bCs/>
                <w:sz w:val="24"/>
                <w:lang w:val="en-US" w:eastAsia="zh-CN"/>
              </w:rPr>
              <w:t>自评得分</w:t>
            </w:r>
          </w:p>
        </w:tc>
      </w:tr>
      <w:tr w14:paraId="023F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Align w:val="center"/>
          </w:tcPr>
          <w:p w14:paraId="2E6DB4F1">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国际组织实习</w:t>
            </w:r>
          </w:p>
          <w:p w14:paraId="4C2D4ED6">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分）</w:t>
            </w:r>
          </w:p>
        </w:tc>
        <w:tc>
          <w:tcPr>
            <w:tcW w:w="2515" w:type="pct"/>
            <w:gridSpan w:val="2"/>
            <w:vAlign w:val="center"/>
          </w:tcPr>
          <w:p w14:paraId="7E3DF1F6">
            <w:pPr>
              <w:widowControl/>
              <w:snapToGrid w:val="0"/>
              <w:ind w:firstLine="480" w:firstLineChars="20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在校期间申请到国际组织实习（含连续三个月以上访学），每次加1分，累计加分不超过</w:t>
            </w: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分。</w:t>
            </w:r>
          </w:p>
        </w:tc>
        <w:tc>
          <w:tcPr>
            <w:tcW w:w="1320" w:type="pct"/>
            <w:vAlign w:val="center"/>
          </w:tcPr>
          <w:p w14:paraId="7265293C">
            <w:pPr>
              <w:widowControl/>
              <w:snapToGrid w:val="0"/>
              <w:ind w:firstLine="480" w:firstLineChars="200"/>
              <w:jc w:val="left"/>
              <w:rPr>
                <w:rFonts w:asciiTheme="minorEastAsia" w:hAnsiTheme="minorEastAsia" w:eastAsiaTheme="minorEastAsia" w:cstheme="minorEastAsia"/>
                <w:sz w:val="24"/>
              </w:rPr>
            </w:pPr>
          </w:p>
        </w:tc>
        <w:tc>
          <w:tcPr>
            <w:tcW w:w="733" w:type="pct"/>
            <w:vAlign w:val="center"/>
          </w:tcPr>
          <w:p w14:paraId="22B2CB75">
            <w:pPr>
              <w:widowControl/>
              <w:snapToGrid w:val="0"/>
              <w:ind w:firstLine="480" w:firstLineChars="200"/>
              <w:jc w:val="left"/>
              <w:rPr>
                <w:rFonts w:asciiTheme="minorEastAsia" w:hAnsiTheme="minorEastAsia" w:eastAsiaTheme="minorEastAsia" w:cstheme="minorEastAsia"/>
                <w:sz w:val="24"/>
              </w:rPr>
            </w:pPr>
          </w:p>
        </w:tc>
      </w:tr>
      <w:tr w14:paraId="5739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Align w:val="center"/>
          </w:tcPr>
          <w:p w14:paraId="3273433F">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参军入伍</w:t>
            </w:r>
          </w:p>
          <w:p w14:paraId="568EE292">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2515" w:type="pct"/>
            <w:gridSpan w:val="2"/>
            <w:vAlign w:val="center"/>
          </w:tcPr>
          <w:p w14:paraId="63D1C729">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在校期间积极响应国家应征入伍政策，有相应经历加5分。</w:t>
            </w:r>
          </w:p>
        </w:tc>
        <w:tc>
          <w:tcPr>
            <w:tcW w:w="1320" w:type="pct"/>
            <w:vAlign w:val="center"/>
          </w:tcPr>
          <w:p w14:paraId="27FE8D5B">
            <w:pPr>
              <w:widowControl/>
              <w:snapToGrid w:val="0"/>
              <w:ind w:firstLine="480" w:firstLineChars="200"/>
              <w:jc w:val="left"/>
              <w:rPr>
                <w:rFonts w:asciiTheme="minorEastAsia" w:hAnsiTheme="minorEastAsia" w:eastAsiaTheme="minorEastAsia" w:cstheme="minorEastAsia"/>
                <w:sz w:val="24"/>
              </w:rPr>
            </w:pPr>
          </w:p>
        </w:tc>
        <w:tc>
          <w:tcPr>
            <w:tcW w:w="733" w:type="pct"/>
            <w:vAlign w:val="center"/>
          </w:tcPr>
          <w:p w14:paraId="37AA0804">
            <w:pPr>
              <w:widowControl/>
              <w:snapToGrid w:val="0"/>
              <w:ind w:firstLine="480" w:firstLineChars="200"/>
              <w:jc w:val="left"/>
              <w:rPr>
                <w:rFonts w:asciiTheme="minorEastAsia" w:hAnsiTheme="minorEastAsia" w:eastAsiaTheme="minorEastAsia" w:cstheme="minorEastAsia"/>
                <w:sz w:val="24"/>
              </w:rPr>
            </w:pPr>
          </w:p>
        </w:tc>
      </w:tr>
      <w:tr w14:paraId="5FD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430" w:type="pct"/>
            <w:vAlign w:val="center"/>
          </w:tcPr>
          <w:p w14:paraId="6B586F64">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综合发展</w:t>
            </w:r>
          </w:p>
          <w:p w14:paraId="3D9F02D4">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2515" w:type="pct"/>
            <w:gridSpan w:val="2"/>
            <w:vAlign w:val="center"/>
          </w:tcPr>
          <w:p w14:paraId="30D293AD">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（1）获得校级及以上党政部门颁发的优秀共产党员称号，按照国家级3分、省级2分、校级1分依次加分；</w:t>
            </w:r>
          </w:p>
          <w:p w14:paraId="0EF8BDCA">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（2）获得校级及以上党政部门颁发的优秀团员或者优秀学生（团）干部</w:t>
            </w:r>
            <w:r>
              <w:rPr>
                <w:rFonts w:hint="eastAsia" w:asciiTheme="minorEastAsia" w:hAnsiTheme="minorEastAsia" w:eastAsiaTheme="minorEastAsia" w:cstheme="minorEastAsia"/>
                <w:sz w:val="24"/>
                <w:lang w:val="en-US" w:eastAsia="zh-CN"/>
              </w:rPr>
              <w:t>称号</w:t>
            </w:r>
            <w:r>
              <w:rPr>
                <w:rFonts w:hint="eastAsia" w:asciiTheme="minorEastAsia" w:hAnsiTheme="minorEastAsia" w:eastAsiaTheme="minorEastAsia" w:cstheme="minorEastAsia"/>
                <w:sz w:val="24"/>
              </w:rPr>
              <w:t>，按照国家级3分、省级2分、校级1分依次加分；</w:t>
            </w:r>
          </w:p>
          <w:p w14:paraId="28F444C4">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（3）获得校级及以上社会实践先进个人（标兵）、优秀志愿者荣誉称号，按照国家级3分、省级2分、校级1分依次加分。</w:t>
            </w:r>
          </w:p>
          <w:p w14:paraId="637F4F1A">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所获荣誉经推免生遴选工作小组认定，即可加分。以上荣誉同一类型不重复加分，按最高成绩计算。累计加分不超过5分。</w:t>
            </w:r>
          </w:p>
        </w:tc>
        <w:tc>
          <w:tcPr>
            <w:tcW w:w="1320" w:type="pct"/>
            <w:vAlign w:val="center"/>
          </w:tcPr>
          <w:p w14:paraId="57DB5F36">
            <w:pPr>
              <w:widowControl/>
              <w:snapToGrid w:val="0"/>
              <w:ind w:firstLine="480" w:firstLineChars="200"/>
              <w:jc w:val="left"/>
              <w:rPr>
                <w:rFonts w:hint="eastAsia" w:asciiTheme="minorEastAsia" w:hAnsiTheme="minorEastAsia" w:eastAsiaTheme="minorEastAsia" w:cstheme="minorEastAsia"/>
                <w:color w:val="0000FF"/>
                <w:sz w:val="24"/>
                <w:lang w:val="en-US" w:eastAsia="zh-CN"/>
              </w:rPr>
            </w:pPr>
            <w:r>
              <w:rPr>
                <w:rFonts w:hint="eastAsia" w:asciiTheme="minorEastAsia" w:hAnsiTheme="minorEastAsia" w:eastAsiaTheme="minorEastAsia" w:cstheme="minorEastAsia"/>
                <w:color w:val="0000FF"/>
                <w:sz w:val="24"/>
                <w:lang w:val="en-US" w:eastAsia="zh-CN"/>
              </w:rPr>
              <w:t>示例（填写时删除）：</w:t>
            </w:r>
          </w:p>
          <w:p w14:paraId="74CCA9CE">
            <w:pPr>
              <w:widowControl/>
              <w:snapToGrid w:val="0"/>
              <w:ind w:firstLine="480" w:firstLineChars="200"/>
              <w:jc w:val="left"/>
              <w:rPr>
                <w:rFonts w:hint="eastAsia" w:asciiTheme="minorEastAsia" w:hAnsiTheme="minorEastAsia" w:eastAsiaTheme="minorEastAsia" w:cstheme="minorEastAsia"/>
                <w:color w:val="0000FF"/>
                <w:sz w:val="24"/>
                <w:lang w:val="en-US" w:eastAsia="zh-CN"/>
              </w:rPr>
            </w:pPr>
            <w:r>
              <w:rPr>
                <w:rFonts w:hint="eastAsia" w:asciiTheme="minorEastAsia" w:hAnsiTheme="minorEastAsia" w:eastAsiaTheme="minorEastAsia" w:cstheme="minorEastAsia"/>
                <w:color w:val="0000FF"/>
                <w:sz w:val="24"/>
                <w:lang w:val="en-US" w:eastAsia="zh-CN"/>
              </w:rPr>
              <w:t>1.2023-2024年度西北农林科技大学优秀学生干部（校党委、学校发2024年12月）</w:t>
            </w:r>
          </w:p>
          <w:p w14:paraId="2522A8B5">
            <w:pPr>
              <w:widowControl/>
              <w:snapToGrid w:val="0"/>
              <w:ind w:firstLine="480" w:firstLineChars="200"/>
              <w:jc w:val="left"/>
              <w:rPr>
                <w:rFonts w:hint="default" w:asciiTheme="minorEastAsia" w:hAnsiTheme="minorEastAsia" w:eastAsiaTheme="minorEastAsia" w:cstheme="minorEastAsia"/>
                <w:color w:val="0000FF"/>
                <w:sz w:val="24"/>
                <w:lang w:val="en-US" w:eastAsia="zh-CN"/>
              </w:rPr>
            </w:pPr>
            <w:r>
              <w:rPr>
                <w:rFonts w:hint="eastAsia" w:asciiTheme="minorEastAsia" w:hAnsiTheme="minorEastAsia" w:eastAsiaTheme="minorEastAsia" w:cstheme="minorEastAsia"/>
                <w:color w:val="0000FF"/>
                <w:sz w:val="24"/>
                <w:lang w:val="en-US" w:eastAsia="zh-CN"/>
              </w:rPr>
              <w:t>2.2021年度大学生社会实践先进个人（校党委2021年12月）</w:t>
            </w:r>
          </w:p>
        </w:tc>
        <w:tc>
          <w:tcPr>
            <w:tcW w:w="733" w:type="pct"/>
            <w:vAlign w:val="center"/>
          </w:tcPr>
          <w:p w14:paraId="615B3E16">
            <w:pPr>
              <w:widowControl/>
              <w:snapToGrid w:val="0"/>
              <w:ind w:firstLine="480" w:firstLineChars="200"/>
              <w:jc w:val="left"/>
              <w:rPr>
                <w:rFonts w:hint="default" w:asciiTheme="minorEastAsia" w:hAnsiTheme="minorEastAsia" w:eastAsiaTheme="minorEastAsia" w:cstheme="minorEastAsia"/>
                <w:color w:val="0000FF"/>
                <w:sz w:val="24"/>
                <w:lang w:val="en-US" w:eastAsia="zh-CN"/>
              </w:rPr>
            </w:pPr>
          </w:p>
        </w:tc>
      </w:tr>
      <w:tr w14:paraId="5806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Align w:val="center"/>
          </w:tcPr>
          <w:p w14:paraId="759D8FD5">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科研训练</w:t>
            </w:r>
          </w:p>
          <w:p w14:paraId="1ABF2C23">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（2分）</w:t>
            </w:r>
          </w:p>
        </w:tc>
        <w:tc>
          <w:tcPr>
            <w:tcW w:w="2515" w:type="pct"/>
            <w:gridSpan w:val="2"/>
            <w:vAlign w:val="center"/>
          </w:tcPr>
          <w:p w14:paraId="3BA89BEB">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参与创新创业项目加1分，各类项目均不重复计分。</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含院级创新创业项目，如“启航计划”</w:t>
            </w:r>
            <w:r>
              <w:rPr>
                <w:rFonts w:hint="eastAsia" w:asciiTheme="minorEastAsia" w:hAnsiTheme="minorEastAsia" w:eastAsiaTheme="minorEastAsia" w:cstheme="minorEastAsia"/>
                <w:sz w:val="24"/>
                <w:lang w:eastAsia="zh-CN"/>
              </w:rPr>
              <w:t>）</w:t>
            </w:r>
          </w:p>
        </w:tc>
        <w:tc>
          <w:tcPr>
            <w:tcW w:w="1320" w:type="pct"/>
            <w:vAlign w:val="center"/>
          </w:tcPr>
          <w:p w14:paraId="1BDD9D16">
            <w:pPr>
              <w:widowControl/>
              <w:snapToGrid w:val="0"/>
              <w:ind w:firstLine="480" w:firstLineChars="200"/>
              <w:jc w:val="left"/>
              <w:rPr>
                <w:rFonts w:asciiTheme="minorEastAsia" w:hAnsiTheme="minorEastAsia" w:eastAsiaTheme="minorEastAsia" w:cstheme="minorEastAsia"/>
                <w:sz w:val="24"/>
              </w:rPr>
            </w:pPr>
          </w:p>
        </w:tc>
        <w:tc>
          <w:tcPr>
            <w:tcW w:w="733" w:type="pct"/>
            <w:vAlign w:val="center"/>
          </w:tcPr>
          <w:p w14:paraId="4F6E2074">
            <w:pPr>
              <w:widowControl/>
              <w:snapToGrid w:val="0"/>
              <w:ind w:firstLine="480" w:firstLineChars="200"/>
              <w:jc w:val="left"/>
              <w:rPr>
                <w:rFonts w:asciiTheme="minorEastAsia" w:hAnsiTheme="minorEastAsia" w:eastAsiaTheme="minorEastAsia" w:cstheme="minorEastAsia"/>
                <w:sz w:val="24"/>
              </w:rPr>
            </w:pPr>
          </w:p>
        </w:tc>
      </w:tr>
      <w:tr w14:paraId="5826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Merge w:val="restart"/>
            <w:vAlign w:val="center"/>
          </w:tcPr>
          <w:p w14:paraId="6DC2C08F">
            <w:pPr>
              <w:widowControl/>
              <w:snapToGrid w:val="0"/>
              <w:jc w:val="center"/>
              <w:rPr>
                <w:rFonts w:asciiTheme="minorEastAsia" w:hAnsiTheme="minorEastAsia" w:eastAsiaTheme="minorEastAsia" w:cstheme="minorEastAsia"/>
                <w:sz w:val="24"/>
              </w:rPr>
            </w:pPr>
          </w:p>
          <w:p w14:paraId="5CB6A743">
            <w:pPr>
              <w:widowControl/>
              <w:snapToGrid w:val="0"/>
              <w:jc w:val="center"/>
              <w:rPr>
                <w:rFonts w:asciiTheme="minorEastAsia" w:hAnsiTheme="minorEastAsia" w:eastAsiaTheme="minorEastAsia" w:cstheme="minorEastAsia"/>
                <w:sz w:val="24"/>
              </w:rPr>
            </w:pPr>
          </w:p>
          <w:p w14:paraId="2815CBA1">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p w14:paraId="2F597A9C">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p w14:paraId="58EAB165">
            <w:pPr>
              <w:widowControl/>
              <w:snapToGrid w:val="0"/>
              <w:rPr>
                <w:rFonts w:asciiTheme="minorEastAsia" w:hAnsiTheme="minorEastAsia" w:eastAsiaTheme="minorEastAsia" w:cstheme="minorEastAsia"/>
                <w:sz w:val="24"/>
              </w:rPr>
            </w:pPr>
          </w:p>
        </w:tc>
        <w:tc>
          <w:tcPr>
            <w:tcW w:w="679" w:type="pct"/>
            <w:vMerge w:val="restart"/>
            <w:vAlign w:val="center"/>
          </w:tcPr>
          <w:p w14:paraId="3F4C625B">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外语水平认定经推免生遴选工作小组认定，即可加分。同一类型不重复加分，按最高成绩计算。</w:t>
            </w:r>
          </w:p>
        </w:tc>
        <w:tc>
          <w:tcPr>
            <w:tcW w:w="1836" w:type="pct"/>
            <w:vAlign w:val="center"/>
          </w:tcPr>
          <w:p w14:paraId="58D6DBC3">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全国英语六级考试成绩在425分到479分加2分；480分到499分加3分；500分到549分加4分；550分到599分加5分；600分到649分加8分；650分以上者加10分。</w:t>
            </w:r>
          </w:p>
        </w:tc>
        <w:tc>
          <w:tcPr>
            <w:tcW w:w="1320" w:type="pct"/>
            <w:vAlign w:val="center"/>
          </w:tcPr>
          <w:p w14:paraId="00F7A279">
            <w:pPr>
              <w:widowControl/>
              <w:snapToGrid w:val="0"/>
              <w:ind w:firstLine="480" w:firstLineChars="200"/>
              <w:jc w:val="left"/>
              <w:rPr>
                <w:rFonts w:hint="default" w:asciiTheme="minorEastAsia" w:hAnsiTheme="minorEastAsia" w:eastAsiaTheme="minorEastAsia" w:cstheme="minorEastAsia"/>
                <w:color w:val="0000FF"/>
                <w:sz w:val="24"/>
                <w:lang w:val="en-US" w:eastAsia="zh-CN"/>
              </w:rPr>
            </w:pPr>
            <w:r>
              <w:rPr>
                <w:rFonts w:hint="eastAsia" w:asciiTheme="minorEastAsia" w:hAnsiTheme="minorEastAsia" w:eastAsiaTheme="minorEastAsia" w:cstheme="minorEastAsia"/>
                <w:color w:val="0000FF"/>
                <w:sz w:val="24"/>
                <w:lang w:val="en-US" w:eastAsia="zh-CN"/>
              </w:rPr>
              <w:t>CET6-500</w:t>
            </w:r>
          </w:p>
        </w:tc>
        <w:tc>
          <w:tcPr>
            <w:tcW w:w="733" w:type="pct"/>
            <w:vAlign w:val="center"/>
          </w:tcPr>
          <w:p w14:paraId="48D0796C">
            <w:pPr>
              <w:widowControl/>
              <w:snapToGrid w:val="0"/>
              <w:ind w:firstLine="480" w:firstLineChars="200"/>
              <w:jc w:val="left"/>
              <w:rPr>
                <w:rFonts w:hint="eastAsia" w:asciiTheme="minorEastAsia" w:hAnsiTheme="minorEastAsia" w:eastAsiaTheme="minorEastAsia" w:cstheme="minorEastAsia"/>
                <w:color w:val="0000FF"/>
                <w:sz w:val="24"/>
                <w:lang w:val="en-US" w:eastAsia="zh-CN"/>
              </w:rPr>
            </w:pPr>
          </w:p>
        </w:tc>
      </w:tr>
      <w:tr w14:paraId="4B66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Merge w:val="continue"/>
            <w:vAlign w:val="center"/>
          </w:tcPr>
          <w:p w14:paraId="6197D025">
            <w:pPr>
              <w:widowControl/>
              <w:snapToGrid w:val="0"/>
              <w:jc w:val="center"/>
              <w:rPr>
                <w:rFonts w:asciiTheme="minorEastAsia" w:hAnsiTheme="minorEastAsia" w:eastAsiaTheme="minorEastAsia" w:cstheme="minorEastAsia"/>
                <w:sz w:val="24"/>
              </w:rPr>
            </w:pPr>
          </w:p>
        </w:tc>
        <w:tc>
          <w:tcPr>
            <w:tcW w:w="679" w:type="pct"/>
            <w:vMerge w:val="continue"/>
            <w:vAlign w:val="center"/>
          </w:tcPr>
          <w:p w14:paraId="78DD4B42">
            <w:pPr>
              <w:widowControl/>
              <w:snapToGrid w:val="0"/>
              <w:ind w:firstLine="480" w:firstLineChars="200"/>
              <w:rPr>
                <w:rFonts w:asciiTheme="minorEastAsia" w:hAnsiTheme="minorEastAsia" w:eastAsiaTheme="minorEastAsia" w:cstheme="minorEastAsia"/>
                <w:sz w:val="24"/>
              </w:rPr>
            </w:pPr>
          </w:p>
        </w:tc>
        <w:tc>
          <w:tcPr>
            <w:tcW w:w="1836" w:type="pct"/>
            <w:vAlign w:val="center"/>
          </w:tcPr>
          <w:p w14:paraId="18DC6E50">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分加2分，7.0及以上者加3分；托福成绩（有效期两年内）90分及以上100分以下加2分，100分及以上加3分；GRE（有效期两年内）310分及以上加2分，320分及以上加3分。不重复加分，按最高成绩计算。</w:t>
            </w:r>
          </w:p>
          <w:p w14:paraId="45C877CD">
            <w:pPr>
              <w:widowControl/>
              <w:snapToGrid w:val="0"/>
              <w:ind w:firstLine="480" w:firstLineChars="200"/>
              <w:rPr>
                <w:rFonts w:asciiTheme="minorEastAsia" w:hAnsiTheme="minorEastAsia" w:eastAsiaTheme="minorEastAsia" w:cstheme="minorEastAsia"/>
                <w:sz w:val="24"/>
              </w:rPr>
            </w:pPr>
          </w:p>
        </w:tc>
        <w:tc>
          <w:tcPr>
            <w:tcW w:w="1320" w:type="pct"/>
            <w:vAlign w:val="center"/>
          </w:tcPr>
          <w:p w14:paraId="779EA545">
            <w:pPr>
              <w:widowControl/>
              <w:snapToGrid w:val="0"/>
              <w:ind w:firstLine="480" w:firstLineChars="200"/>
              <w:rPr>
                <w:rFonts w:asciiTheme="minorEastAsia" w:hAnsiTheme="minorEastAsia" w:eastAsiaTheme="minorEastAsia" w:cstheme="minorEastAsia"/>
                <w:sz w:val="24"/>
              </w:rPr>
            </w:pPr>
          </w:p>
        </w:tc>
        <w:tc>
          <w:tcPr>
            <w:tcW w:w="733" w:type="pct"/>
            <w:vAlign w:val="center"/>
          </w:tcPr>
          <w:p w14:paraId="2EAB0D79">
            <w:pPr>
              <w:widowControl/>
              <w:snapToGrid w:val="0"/>
              <w:ind w:firstLine="480" w:firstLineChars="200"/>
              <w:rPr>
                <w:rFonts w:asciiTheme="minorEastAsia" w:hAnsiTheme="minorEastAsia" w:eastAsiaTheme="minorEastAsia" w:cstheme="minorEastAsia"/>
                <w:sz w:val="24"/>
              </w:rPr>
            </w:pPr>
          </w:p>
        </w:tc>
      </w:tr>
      <w:tr w14:paraId="3164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Align w:val="center"/>
          </w:tcPr>
          <w:p w14:paraId="3FDB7CB6">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p w14:paraId="44F96B26">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2515" w:type="pct"/>
            <w:gridSpan w:val="2"/>
            <w:vAlign w:val="center"/>
          </w:tcPr>
          <w:p w14:paraId="005CDA24">
            <w:pPr>
              <w:widowControl/>
              <w:snapToGrid w:val="0"/>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获得国家级（含国际级）学科竞赛A类特等、一等（金奖）、二等奖（银奖）和三等奖（铜奖），分别加5分、4分、3分和2分（团体项目得分均分给前五名参与者）；</w:t>
            </w:r>
          </w:p>
          <w:p w14:paraId="50D28B3C">
            <w:pPr>
              <w:widowControl/>
              <w:snapToGrid w:val="0"/>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获得国家级（含国际级）学科竞赛B类特等、一等（金奖）、二等奖（银奖）和三等奖（铜奖），分别加4分、3分、2分和1分（团体项目得分均分给前三名参与者）；</w:t>
            </w:r>
          </w:p>
          <w:p w14:paraId="513B6A29">
            <w:pPr>
              <w:widowControl/>
              <w:snapToGrid w:val="0"/>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获得国家级（含国际级）学科竞赛C类特等、一等（金奖）、二等奖（银奖）和三等奖（铜奖），分别加3分、2分、1分和0.5分（团体项目得分均分给前三名参与者）。</w:t>
            </w:r>
          </w:p>
          <w:p w14:paraId="4E57BF62">
            <w:pPr>
              <w:widowControl/>
              <w:snapToGrid w:val="0"/>
              <w:ind w:firstLine="480" w:firstLineChars="200"/>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同一成果参加竞赛，按最高成绩计算，累计加分不超过10分。</w:t>
            </w:r>
          </w:p>
        </w:tc>
        <w:tc>
          <w:tcPr>
            <w:tcW w:w="1320" w:type="pct"/>
            <w:vAlign w:val="center"/>
          </w:tcPr>
          <w:p w14:paraId="260C81A7">
            <w:pPr>
              <w:widowControl/>
              <w:snapToGrid w:val="0"/>
              <w:ind w:firstLine="480" w:firstLineChars="200"/>
              <w:jc w:val="left"/>
              <w:rPr>
                <w:rFonts w:hint="default" w:asciiTheme="minorEastAsia" w:hAnsiTheme="minorEastAsia" w:eastAsiaTheme="minorEastAsia" w:cstheme="minorEastAsia"/>
                <w:color w:val="0000FF"/>
                <w:sz w:val="24"/>
                <w:lang w:val="en-US" w:eastAsia="zh-CN"/>
              </w:rPr>
            </w:pPr>
            <w:r>
              <w:rPr>
                <w:rFonts w:hint="eastAsia" w:asciiTheme="minorEastAsia" w:hAnsiTheme="minorEastAsia" w:eastAsiaTheme="minorEastAsia" w:cstheme="minorEastAsia"/>
                <w:color w:val="0000FF"/>
                <w:sz w:val="24"/>
                <w:lang w:val="en-US" w:eastAsia="zh-CN"/>
              </w:rPr>
              <w:t>1.</w:t>
            </w:r>
            <w:r>
              <w:rPr>
                <w:rFonts w:hint="eastAsia" w:asciiTheme="minorEastAsia" w:hAnsiTheme="minorEastAsia" w:eastAsiaTheme="minorEastAsia" w:cstheme="minorEastAsia"/>
                <w:color w:val="0000FF"/>
                <w:sz w:val="24"/>
              </w:rPr>
              <w:t>全国大学生生命科学竞赛</w:t>
            </w:r>
            <w:r>
              <w:rPr>
                <w:rFonts w:hint="eastAsia" w:asciiTheme="minorEastAsia" w:hAnsiTheme="minorEastAsia" w:eastAsiaTheme="minorEastAsia" w:cstheme="minorEastAsia"/>
                <w:color w:val="0000FF"/>
                <w:sz w:val="24"/>
                <w:lang w:val="en-US" w:eastAsia="zh-CN"/>
              </w:rPr>
              <w:t>一等奖（2023年获奖），2023年B类，队内排序第三</w:t>
            </w:r>
          </w:p>
        </w:tc>
        <w:tc>
          <w:tcPr>
            <w:tcW w:w="733" w:type="pct"/>
            <w:vAlign w:val="center"/>
          </w:tcPr>
          <w:p w14:paraId="35EDC461">
            <w:pPr>
              <w:widowControl/>
              <w:snapToGrid w:val="0"/>
              <w:ind w:firstLine="480" w:firstLineChars="200"/>
              <w:jc w:val="left"/>
              <w:rPr>
                <w:rFonts w:hint="default" w:asciiTheme="minorEastAsia" w:hAnsiTheme="minorEastAsia" w:eastAsiaTheme="minorEastAsia" w:cstheme="minorEastAsia"/>
                <w:color w:val="0000FF"/>
                <w:sz w:val="24"/>
                <w:lang w:val="en-US" w:eastAsia="zh-CN"/>
              </w:rPr>
            </w:pPr>
            <w:r>
              <w:rPr>
                <w:rFonts w:hint="eastAsia" w:asciiTheme="minorEastAsia" w:hAnsiTheme="minorEastAsia" w:eastAsiaTheme="minorEastAsia" w:cstheme="minorEastAsia"/>
                <w:color w:val="0000FF"/>
                <w:sz w:val="24"/>
                <w:lang w:val="en-US" w:eastAsia="zh-CN"/>
              </w:rPr>
              <w:t>本项加分最终只计通过认定审核答辩的成果</w:t>
            </w:r>
          </w:p>
        </w:tc>
      </w:tr>
      <w:tr w14:paraId="0AF9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Align w:val="center"/>
          </w:tcPr>
          <w:p w14:paraId="76820739">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p w14:paraId="43834580">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10</w:t>
            </w:r>
            <w:r>
              <w:rPr>
                <w:rFonts w:hint="eastAsia" w:asciiTheme="minorEastAsia" w:hAnsiTheme="minorEastAsia" w:eastAsiaTheme="minorEastAsia" w:cstheme="minorEastAsia"/>
                <w:sz w:val="24"/>
              </w:rPr>
              <w:t>分）</w:t>
            </w:r>
          </w:p>
        </w:tc>
        <w:tc>
          <w:tcPr>
            <w:tcW w:w="2515" w:type="pct"/>
            <w:gridSpan w:val="2"/>
            <w:vAlign w:val="center"/>
          </w:tcPr>
          <w:p w14:paraId="70000BF1">
            <w:pPr>
              <w:widowControl/>
              <w:snapToGrid w:val="0"/>
              <w:ind w:firstLine="480" w:firstLineChars="200"/>
              <w:jc w:val="left"/>
              <w:rPr>
                <w:sz w:val="24"/>
              </w:rPr>
            </w:pPr>
            <w:r>
              <w:rPr>
                <w:sz w:val="24"/>
              </w:rPr>
              <w:t>以主持人身份获批大学生创新创业训练计划项目</w:t>
            </w:r>
            <w:r>
              <w:rPr>
                <w:rFonts w:hint="eastAsia"/>
                <w:sz w:val="24"/>
              </w:rPr>
              <w:t>且结题</w:t>
            </w:r>
            <w:r>
              <w:rPr>
                <w:sz w:val="24"/>
              </w:rPr>
              <w:t>，国家级加3分（参与者加2分），省级加2分（参与者加1分），校级加1分（参与者加0.5分）；课题结题考核等级为优秀者，</w:t>
            </w:r>
            <w:r>
              <w:rPr>
                <w:rFonts w:hint="eastAsia" w:asciiTheme="minorEastAsia" w:hAnsiTheme="minorEastAsia" w:eastAsiaTheme="minorEastAsia" w:cstheme="minorEastAsia"/>
                <w:sz w:val="24"/>
              </w:rPr>
              <w:t>额外加</w:t>
            </w:r>
            <w:r>
              <w:rPr>
                <w:rFonts w:asciiTheme="minorEastAsia" w:hAnsiTheme="minorEastAsia" w:eastAsiaTheme="minorEastAsia" w:cstheme="minorEastAsia"/>
                <w:sz w:val="24"/>
              </w:rPr>
              <w:t>2</w:t>
            </w:r>
            <w:r>
              <w:rPr>
                <w:rFonts w:hint="eastAsia" w:asciiTheme="minorEastAsia" w:hAnsiTheme="minorEastAsia" w:eastAsiaTheme="minorEastAsia" w:cstheme="minorEastAsia"/>
                <w:sz w:val="24"/>
              </w:rPr>
              <w:t>分</w:t>
            </w:r>
            <w:r>
              <w:rPr>
                <w:sz w:val="24"/>
              </w:rPr>
              <w:t>，同一类型</w:t>
            </w:r>
            <w:r>
              <w:rPr>
                <w:rFonts w:hint="eastAsia"/>
                <w:sz w:val="24"/>
              </w:rPr>
              <w:t>或</w:t>
            </w:r>
            <w:r>
              <w:rPr>
                <w:sz w:val="24"/>
              </w:rPr>
              <w:t>项目不累计加分；文章署名第一单位为西北农林科技大学，在SCI期刊上发表</w:t>
            </w:r>
            <w:r>
              <w:rPr>
                <w:rFonts w:hint="eastAsia"/>
                <w:sz w:val="24"/>
              </w:rPr>
              <w:t>生物学科研究</w:t>
            </w:r>
            <w:r>
              <w:rPr>
                <w:sz w:val="24"/>
              </w:rPr>
              <w:t>论文</w:t>
            </w:r>
            <w:r>
              <w:rPr>
                <w:rFonts w:hint="eastAsia"/>
                <w:sz w:val="24"/>
              </w:rPr>
              <w:t>并提供真实的科研记录和原始数据</w:t>
            </w:r>
            <w:r>
              <w:rPr>
                <w:sz w:val="24"/>
              </w:rPr>
              <w:t>，</w:t>
            </w:r>
            <w:r>
              <w:rPr>
                <w:rFonts w:hint="eastAsia"/>
                <w:sz w:val="24"/>
              </w:rPr>
              <w:t>中科院大类</w:t>
            </w:r>
            <w:r>
              <w:rPr>
                <w:sz w:val="24"/>
              </w:rPr>
              <w:t>1</w:t>
            </w:r>
            <w:r>
              <w:rPr>
                <w:rFonts w:hint="eastAsia"/>
                <w:sz w:val="24"/>
              </w:rPr>
              <w:t>区及以上的</w:t>
            </w:r>
            <w:r>
              <w:rPr>
                <w:sz w:val="24"/>
              </w:rPr>
              <w:t>第一</w:t>
            </w:r>
            <w:r>
              <w:rPr>
                <w:rFonts w:hint="eastAsia"/>
                <w:sz w:val="24"/>
              </w:rPr>
              <w:t>作者、第二作者和第三作者</w:t>
            </w:r>
            <w:r>
              <w:rPr>
                <w:sz w:val="24"/>
              </w:rPr>
              <w:t>每篇分别加5</w:t>
            </w:r>
            <w:r>
              <w:rPr>
                <w:rFonts w:hint="eastAsia"/>
                <w:sz w:val="24"/>
              </w:rPr>
              <w:t>、3、</w:t>
            </w:r>
            <w:bookmarkStart w:id="0" w:name="_GoBack"/>
            <w:bookmarkEnd w:id="0"/>
            <w:r>
              <w:rPr>
                <w:sz w:val="24"/>
              </w:rPr>
              <w:t>2分</w:t>
            </w:r>
            <w:r>
              <w:rPr>
                <w:rFonts w:hint="eastAsia"/>
                <w:sz w:val="24"/>
              </w:rPr>
              <w:t>；中科院大类</w:t>
            </w:r>
            <w:r>
              <w:rPr>
                <w:sz w:val="24"/>
              </w:rPr>
              <w:t>2</w:t>
            </w:r>
            <w:r>
              <w:rPr>
                <w:rFonts w:hint="eastAsia"/>
                <w:sz w:val="24"/>
              </w:rPr>
              <w:t>区的</w:t>
            </w:r>
            <w:r>
              <w:rPr>
                <w:sz w:val="24"/>
              </w:rPr>
              <w:t>第一</w:t>
            </w:r>
            <w:r>
              <w:rPr>
                <w:rFonts w:hint="eastAsia"/>
                <w:sz w:val="24"/>
              </w:rPr>
              <w:t>作者、第二作者和第三作者</w:t>
            </w:r>
            <w:r>
              <w:rPr>
                <w:sz w:val="24"/>
              </w:rPr>
              <w:t>每篇分别加4</w:t>
            </w:r>
            <w:r>
              <w:rPr>
                <w:rFonts w:hint="eastAsia"/>
                <w:sz w:val="24"/>
              </w:rPr>
              <w:t>、</w:t>
            </w:r>
            <w:r>
              <w:rPr>
                <w:sz w:val="24"/>
              </w:rPr>
              <w:t>2</w:t>
            </w:r>
            <w:r>
              <w:rPr>
                <w:rFonts w:hint="eastAsia"/>
                <w:sz w:val="24"/>
              </w:rPr>
              <w:t>、</w:t>
            </w:r>
            <w:r>
              <w:rPr>
                <w:sz w:val="24"/>
              </w:rPr>
              <w:t>1分</w:t>
            </w:r>
            <w:r>
              <w:rPr>
                <w:rFonts w:hint="eastAsia"/>
                <w:sz w:val="24"/>
              </w:rPr>
              <w:t>；其它S</w:t>
            </w:r>
            <w:r>
              <w:rPr>
                <w:sz w:val="24"/>
              </w:rPr>
              <w:t>CI</w:t>
            </w:r>
            <w:r>
              <w:rPr>
                <w:rFonts w:hint="eastAsia"/>
                <w:sz w:val="24"/>
              </w:rPr>
              <w:t>论文的</w:t>
            </w:r>
            <w:r>
              <w:rPr>
                <w:sz w:val="24"/>
              </w:rPr>
              <w:t>第一作者</w:t>
            </w:r>
            <w:r>
              <w:rPr>
                <w:rFonts w:hint="eastAsia"/>
                <w:sz w:val="24"/>
              </w:rPr>
              <w:t>和第二作者每篇分别加</w:t>
            </w:r>
            <w:r>
              <w:rPr>
                <w:sz w:val="24"/>
              </w:rPr>
              <w:t>2</w:t>
            </w:r>
            <w:r>
              <w:rPr>
                <w:rFonts w:hint="eastAsia"/>
                <w:sz w:val="24"/>
              </w:rPr>
              <w:t>和1分；</w:t>
            </w:r>
            <w:r>
              <w:rPr>
                <w:sz w:val="24"/>
              </w:rPr>
              <w:t>在EI或中文核心期刊上发表</w:t>
            </w:r>
            <w:r>
              <w:rPr>
                <w:rFonts w:hint="eastAsia"/>
                <w:sz w:val="24"/>
              </w:rPr>
              <w:t>研究</w:t>
            </w:r>
            <w:r>
              <w:rPr>
                <w:sz w:val="24"/>
              </w:rPr>
              <w:t>论文</w:t>
            </w:r>
            <w:r>
              <w:rPr>
                <w:rFonts w:hint="eastAsia"/>
                <w:sz w:val="24"/>
              </w:rPr>
              <w:t>的</w:t>
            </w:r>
            <w:r>
              <w:rPr>
                <w:sz w:val="24"/>
              </w:rPr>
              <w:t>第一作者每篇加</w:t>
            </w:r>
            <w:r>
              <w:rPr>
                <w:rFonts w:hint="eastAsia"/>
                <w:sz w:val="24"/>
              </w:rPr>
              <w:t>1分。</w:t>
            </w:r>
            <w:r>
              <w:rPr>
                <w:sz w:val="24"/>
              </w:rPr>
              <w:t>共同第一作者</w:t>
            </w:r>
            <w:r>
              <w:rPr>
                <w:rFonts w:hint="eastAsia"/>
                <w:sz w:val="24"/>
              </w:rPr>
              <w:t>按第二作计。</w:t>
            </w:r>
          </w:p>
          <w:p w14:paraId="319FD4C5">
            <w:pPr>
              <w:widowControl/>
              <w:snapToGrid w:val="0"/>
              <w:ind w:firstLine="482" w:firstLineChars="200"/>
              <w:jc w:val="left"/>
              <w:rPr>
                <w:rFonts w:asciiTheme="minorEastAsia" w:hAnsiTheme="minorEastAsia" w:eastAsiaTheme="minorEastAsia" w:cstheme="minorEastAsia"/>
                <w:sz w:val="24"/>
              </w:rPr>
            </w:pPr>
            <w:r>
              <w:rPr>
                <w:b/>
                <w:bCs/>
                <w:sz w:val="24"/>
              </w:rPr>
              <w:t>累计加分不超过</w:t>
            </w:r>
            <w:r>
              <w:rPr>
                <w:rFonts w:hint="eastAsia"/>
                <w:b/>
                <w:bCs/>
                <w:sz w:val="24"/>
              </w:rPr>
              <w:t>10</w:t>
            </w:r>
            <w:r>
              <w:rPr>
                <w:b/>
                <w:bCs/>
                <w:sz w:val="24"/>
              </w:rPr>
              <w:t>分。</w:t>
            </w:r>
            <w:r>
              <w:rPr>
                <w:rFonts w:hint="eastAsia"/>
                <w:b/>
                <w:bCs/>
                <w:sz w:val="24"/>
              </w:rPr>
              <w:t>无真实科研记录和原始数据的不加分</w:t>
            </w:r>
            <w:r>
              <w:rPr>
                <w:rFonts w:hint="eastAsia" w:asciiTheme="minorEastAsia" w:hAnsiTheme="minorEastAsia" w:eastAsiaTheme="minorEastAsia" w:cstheme="minorEastAsia"/>
                <w:b/>
                <w:bCs/>
                <w:sz w:val="24"/>
              </w:rPr>
              <w:t>。</w:t>
            </w:r>
          </w:p>
        </w:tc>
        <w:tc>
          <w:tcPr>
            <w:tcW w:w="1320" w:type="pct"/>
            <w:vAlign w:val="center"/>
          </w:tcPr>
          <w:p w14:paraId="0B9CB864">
            <w:pPr>
              <w:widowControl/>
              <w:snapToGrid w:val="0"/>
              <w:ind w:firstLine="480" w:firstLineChars="200"/>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color w:val="0000FF"/>
                <w:sz w:val="24"/>
                <w:lang w:val="en-US" w:eastAsia="zh-CN"/>
              </w:rPr>
              <w:t>论文加分需要提供能体现本人工作量的实验原始数据、实验记录等过程证明材料</w:t>
            </w:r>
          </w:p>
        </w:tc>
        <w:tc>
          <w:tcPr>
            <w:tcW w:w="733" w:type="pct"/>
            <w:vAlign w:val="center"/>
          </w:tcPr>
          <w:p w14:paraId="4C50A38C">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FF"/>
                <w:sz w:val="24"/>
                <w:lang w:val="en-US" w:eastAsia="zh-CN"/>
              </w:rPr>
              <w:t>本项加分最终只计通过认定审核答辩的成果</w:t>
            </w:r>
          </w:p>
        </w:tc>
      </w:tr>
      <w:tr w14:paraId="6169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0" w:type="pct"/>
            <w:vAlign w:val="center"/>
          </w:tcPr>
          <w:p w14:paraId="6D3436E4">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p w14:paraId="6D5486A3">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分）</w:t>
            </w:r>
          </w:p>
        </w:tc>
        <w:tc>
          <w:tcPr>
            <w:tcW w:w="2515" w:type="pct"/>
            <w:gridSpan w:val="2"/>
            <w:vAlign w:val="center"/>
          </w:tcPr>
          <w:p w14:paraId="3A63CFAD">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以第一完成人申请并获国家授权发明专利，正式获批科技发明专利每项加1分。累计加分不超过</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分。</w:t>
            </w:r>
          </w:p>
        </w:tc>
        <w:tc>
          <w:tcPr>
            <w:tcW w:w="1320" w:type="pct"/>
            <w:vAlign w:val="center"/>
          </w:tcPr>
          <w:p w14:paraId="0BFA8B13">
            <w:pPr>
              <w:widowControl/>
              <w:snapToGrid w:val="0"/>
              <w:ind w:firstLine="480" w:firstLineChars="200"/>
              <w:jc w:val="left"/>
              <w:rPr>
                <w:rFonts w:asciiTheme="minorEastAsia" w:hAnsiTheme="minorEastAsia" w:eastAsiaTheme="minorEastAsia" w:cstheme="minorEastAsia"/>
                <w:sz w:val="24"/>
              </w:rPr>
            </w:pPr>
          </w:p>
        </w:tc>
        <w:tc>
          <w:tcPr>
            <w:tcW w:w="733" w:type="pct"/>
            <w:vAlign w:val="center"/>
          </w:tcPr>
          <w:p w14:paraId="350EE282">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FF"/>
                <w:sz w:val="24"/>
                <w:lang w:val="en-US" w:eastAsia="zh-CN"/>
              </w:rPr>
              <w:t>本项加分最终只计通过认定审核答辩的成果</w:t>
            </w:r>
          </w:p>
        </w:tc>
      </w:tr>
      <w:tr w14:paraId="017E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0" w:type="pct"/>
            <w:vAlign w:val="center"/>
          </w:tcPr>
          <w:p w14:paraId="1665288D">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总计</w:t>
            </w:r>
          </w:p>
        </w:tc>
        <w:tc>
          <w:tcPr>
            <w:tcW w:w="2515" w:type="pct"/>
            <w:gridSpan w:val="2"/>
            <w:vAlign w:val="center"/>
          </w:tcPr>
          <w:p w14:paraId="324F2CA9">
            <w:pPr>
              <w:widowControl/>
              <w:snapToGrid w:val="0"/>
              <w:ind w:firstLine="480" w:firstLineChars="200"/>
              <w:jc w:val="left"/>
              <w:rPr>
                <w:rFonts w:asciiTheme="minorEastAsia" w:hAnsiTheme="minorEastAsia" w:eastAsiaTheme="minorEastAsia" w:cstheme="minorEastAsia"/>
                <w:sz w:val="24"/>
              </w:rPr>
            </w:pPr>
          </w:p>
        </w:tc>
        <w:tc>
          <w:tcPr>
            <w:tcW w:w="1320" w:type="pct"/>
            <w:vAlign w:val="center"/>
          </w:tcPr>
          <w:p w14:paraId="5A8FF571">
            <w:pPr>
              <w:widowControl/>
              <w:snapToGrid w:val="0"/>
              <w:ind w:firstLine="480" w:firstLineChars="200"/>
              <w:jc w:val="left"/>
              <w:rPr>
                <w:rFonts w:asciiTheme="minorEastAsia" w:hAnsiTheme="minorEastAsia" w:eastAsiaTheme="minorEastAsia" w:cstheme="minorEastAsia"/>
                <w:sz w:val="24"/>
              </w:rPr>
            </w:pPr>
          </w:p>
        </w:tc>
        <w:tc>
          <w:tcPr>
            <w:tcW w:w="733" w:type="pct"/>
            <w:vAlign w:val="center"/>
          </w:tcPr>
          <w:p w14:paraId="05EB828F">
            <w:pPr>
              <w:widowControl/>
              <w:snapToGrid w:val="0"/>
              <w:ind w:firstLine="480" w:firstLineChars="200"/>
              <w:jc w:val="left"/>
              <w:rPr>
                <w:rFonts w:asciiTheme="minorEastAsia" w:hAnsiTheme="minorEastAsia" w:eastAsiaTheme="minorEastAsia" w:cstheme="minorEastAsia"/>
                <w:sz w:val="24"/>
              </w:rPr>
            </w:pPr>
          </w:p>
        </w:tc>
      </w:tr>
    </w:tbl>
    <w:p w14:paraId="730B4C23">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14:paraId="03D84C01">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14:paraId="2AFA2E28">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14:paraId="01B7DA3E">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14:paraId="1960E2BB">
      <w:pPr>
        <w:widowControl/>
        <w:snapToGrid w:val="0"/>
        <w:rPr>
          <w:rFonts w:hint="default" w:asciiTheme="minorEastAsia" w:hAnsiTheme="minorEastAsia" w:eastAsiaTheme="minorEastAsia" w:cstheme="minorEastAsia"/>
          <w:b/>
          <w:bCs/>
          <w:sz w:val="24"/>
          <w:lang w:val="en-US" w:eastAsia="zh-CN"/>
        </w:rPr>
      </w:pPr>
      <w:r>
        <w:rPr>
          <w:rFonts w:hint="eastAsia" w:asciiTheme="minorEastAsia" w:hAnsiTheme="minorEastAsia" w:eastAsiaTheme="minorEastAsia" w:cstheme="minorEastAsia"/>
          <w:b/>
          <w:bCs/>
          <w:sz w:val="24"/>
        </w:rPr>
        <w:t>4.</w:t>
      </w:r>
      <w:r>
        <w:rPr>
          <w:rFonts w:hint="eastAsia" w:asciiTheme="minorEastAsia" w:hAnsiTheme="minorEastAsia" w:eastAsiaTheme="minorEastAsia" w:cstheme="minorEastAsia"/>
          <w:b/>
          <w:bCs/>
          <w:sz w:val="24"/>
          <w:lang w:val="en-US" w:eastAsia="zh-CN"/>
        </w:rPr>
        <w:t>申请人应对所提交材料（包括证书、论文首页、论文接收函等）的真实性负责。我院成立专家组进行审核，凡发现学术不端行为并经查实的，取消申请资格，并按学校有关规定处理。</w:t>
      </w:r>
    </w:p>
    <w:p w14:paraId="69E906A9">
      <w:pPr>
        <w:widowControl/>
        <w:snapToGrid w:val="0"/>
        <w:rPr>
          <w:rFonts w:ascii="宋体" w:hAnsi="宋体" w:cs="宋体"/>
          <w:b/>
          <w:bCs/>
          <w:color w:val="000000"/>
          <w:kern w:val="0"/>
          <w:sz w:val="24"/>
        </w:rPr>
      </w:pPr>
      <w:r>
        <w:rPr>
          <w:rFonts w:hint="eastAsia" w:asciiTheme="minorEastAsia" w:hAnsiTheme="minorEastAsia" w:eastAsiaTheme="minorEastAsia" w:cstheme="minorEastAsia"/>
          <w:b/>
          <w:bCs/>
          <w:sz w:val="24"/>
        </w:rPr>
        <w:t>5.科研加分累计不超过50分。</w:t>
      </w:r>
    </w:p>
    <w:sectPr>
      <w:pgSz w:w="16838" w:h="11906" w:orient="landscape"/>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hNjQzOGJkYTNkNGY0Yjc0NmM4ZTQxYWIzOTZmZDIifQ=="/>
  </w:docVars>
  <w:rsids>
    <w:rsidRoot w:val="63DE42F0"/>
    <w:rsid w:val="006E543B"/>
    <w:rsid w:val="008F0F74"/>
    <w:rsid w:val="00C0711C"/>
    <w:rsid w:val="02853835"/>
    <w:rsid w:val="0B7C45C9"/>
    <w:rsid w:val="0F9718AC"/>
    <w:rsid w:val="11BB2CBA"/>
    <w:rsid w:val="13FF0EC0"/>
    <w:rsid w:val="15676529"/>
    <w:rsid w:val="1AEB5C58"/>
    <w:rsid w:val="1E1A55C2"/>
    <w:rsid w:val="2493413D"/>
    <w:rsid w:val="29AE3FAB"/>
    <w:rsid w:val="2AF476DA"/>
    <w:rsid w:val="3738328D"/>
    <w:rsid w:val="3B314E89"/>
    <w:rsid w:val="3B56251A"/>
    <w:rsid w:val="3DD0560D"/>
    <w:rsid w:val="41C8035F"/>
    <w:rsid w:val="42756FAE"/>
    <w:rsid w:val="42A039E3"/>
    <w:rsid w:val="466B040E"/>
    <w:rsid w:val="4C503746"/>
    <w:rsid w:val="4CCF373F"/>
    <w:rsid w:val="530D42C4"/>
    <w:rsid w:val="54FA6042"/>
    <w:rsid w:val="5C4A6EEC"/>
    <w:rsid w:val="5E00257D"/>
    <w:rsid w:val="63DE42F0"/>
    <w:rsid w:val="64891DCD"/>
    <w:rsid w:val="69FF522C"/>
    <w:rsid w:val="6AC63F6F"/>
    <w:rsid w:val="73062A3F"/>
    <w:rsid w:val="7A35442A"/>
    <w:rsid w:val="7F032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p15"/>
    <w:basedOn w:val="1"/>
    <w:qFormat/>
    <w:uiPriority w:val="0"/>
    <w:pPr>
      <w:widowControl/>
      <w:spacing w:after="120"/>
      <w:ind w:left="420"/>
    </w:pPr>
    <w:rPr>
      <w:kern w:val="0"/>
      <w:szCs w:val="21"/>
    </w:r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1673</Words>
  <Characters>1768</Characters>
  <Lines>21</Lines>
  <Paragraphs>6</Paragraphs>
  <TotalTime>3</TotalTime>
  <ScaleCrop>false</ScaleCrop>
  <LinksUpToDate>false</LinksUpToDate>
  <CharactersWithSpaces>1827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2021-09-03T10:56:00Z</dcterms:created>
  <dc:creator>杨军</dc:creator>
  <cp:lastModifiedBy>亲爱的不一一</cp:lastModifiedBy>
  <dcterms:modified xsi:type="dcterms:W3CDTF">2026-09-07T14:33:26Z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75340AD507E34420B7131A88FBB3C0E0_13</vt:lpwstr>
  </property>
  <property fmtid="{D5CDD505-2E9C-101B-9397-08002B2CF9AE}" pid="4" name="KSOTemplateDocerSaveRecord">
    <vt:lpwstr>eyJoZGlkIjoiYjk0NTg2M2RjMWE2ZTIwYTlmZTEzZGZmMzUwOTRiZTAiLCJ1c2VySWQiOiI0OTgyMDY3NzMifQ==</vt:lpwstr>
  </property>
</Properties>
</file>