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AE7CF">
      <w:pPr>
        <w:pStyle w:val="4"/>
        <w:widowControl w:val="0"/>
        <w:shd w:val="clear"/>
        <w:spacing w:before="0" w:beforeAutospacing="0" w:after="0" w:afterAutospacing="0" w:line="700" w:lineRule="exact"/>
        <w:ind w:right="74"/>
        <w:jc w:val="left"/>
        <w:rPr>
          <w:rFonts w:hint="eastAsia" w:ascii="黑体" w:hAnsi="黑体" w:eastAsia="黑体" w:cs="黑体"/>
          <w:b w:val="0"/>
          <w:bCs w:val="0"/>
          <w:color w:val="000000"/>
          <w:kern w:val="2"/>
          <w:sz w:val="32"/>
          <w:szCs w:val="32"/>
          <w:lang w:val="en-US" w:eastAsia="zh-CN"/>
        </w:rPr>
      </w:pPr>
    </w:p>
    <w:p w14:paraId="4B3EBDBE">
      <w:pPr>
        <w:pStyle w:val="4"/>
        <w:widowControl w:val="0"/>
        <w:shd w:val="clear"/>
        <w:spacing w:before="0" w:beforeAutospacing="0" w:after="0" w:afterAutospacing="0" w:line="700" w:lineRule="exact"/>
        <w:ind w:right="74"/>
        <w:jc w:val="center"/>
        <w:rPr>
          <w:rFonts w:hint="eastAsia" w:ascii="方正小标宋简体" w:hAnsi="黑体" w:eastAsia="方正小标宋简体" w:cs="黑体"/>
          <w:color w:val="000000"/>
          <w:sz w:val="42"/>
          <w:szCs w:val="44"/>
          <w:lang w:val="en-US" w:eastAsia="zh-CN"/>
        </w:rPr>
      </w:pPr>
      <w:r>
        <w:rPr>
          <w:rFonts w:hint="eastAsia" w:ascii="方正小标宋简体" w:hAnsi="黑体" w:eastAsia="方正小标宋简体" w:cs="黑体"/>
          <w:color w:val="000000"/>
          <w:kern w:val="2"/>
          <w:sz w:val="42"/>
          <w:szCs w:val="44"/>
        </w:rPr>
        <w:t>未来农业研究院</w:t>
      </w:r>
      <w:r>
        <w:rPr>
          <w:rFonts w:hint="eastAsia" w:ascii="方正小标宋简体" w:hAnsi="黑体" w:eastAsia="方正小标宋简体" w:cs="黑体"/>
          <w:color w:val="000000"/>
          <w:sz w:val="42"/>
          <w:szCs w:val="44"/>
          <w:lang w:eastAsia="zh-CN"/>
        </w:rPr>
        <w:t>202</w:t>
      </w:r>
      <w:r>
        <w:rPr>
          <w:rFonts w:hint="eastAsia" w:ascii="方正小标宋简体" w:hAnsi="黑体" w:eastAsia="方正小标宋简体" w:cs="黑体"/>
          <w:color w:val="000000"/>
          <w:sz w:val="42"/>
          <w:szCs w:val="44"/>
          <w:lang w:val="en-US" w:eastAsia="zh-CN"/>
        </w:rPr>
        <w:t>6</w:t>
      </w:r>
      <w:r>
        <w:rPr>
          <w:rFonts w:hint="eastAsia" w:ascii="方正小标宋简体" w:hAnsi="黑体" w:eastAsia="方正小标宋简体" w:cs="黑体"/>
          <w:color w:val="000000"/>
          <w:sz w:val="42"/>
          <w:szCs w:val="44"/>
        </w:rPr>
        <w:t>年</w:t>
      </w:r>
      <w:r>
        <w:rPr>
          <w:rFonts w:hint="eastAsia" w:ascii="方正小标宋简体" w:hAnsi="黑体" w:eastAsia="方正小标宋简体" w:cs="黑体"/>
          <w:color w:val="000000"/>
          <w:sz w:val="42"/>
          <w:szCs w:val="44"/>
          <w:lang w:val="en-US" w:eastAsia="zh-CN"/>
        </w:rPr>
        <w:t>遴选</w:t>
      </w:r>
    </w:p>
    <w:p w14:paraId="093BDFE7">
      <w:pPr>
        <w:pStyle w:val="4"/>
        <w:widowControl w:val="0"/>
        <w:shd w:val="clear"/>
        <w:spacing w:before="0" w:beforeAutospacing="0" w:after="0" w:afterAutospacing="0" w:line="700" w:lineRule="exact"/>
        <w:ind w:right="74"/>
        <w:jc w:val="center"/>
        <w:rPr>
          <w:rFonts w:hint="eastAsia" w:ascii="方正小标宋简体" w:hAnsi="黑体" w:eastAsia="方正小标宋简体" w:cs="黑体"/>
          <w:color w:val="000000"/>
          <w:sz w:val="42"/>
          <w:szCs w:val="44"/>
        </w:rPr>
      </w:pPr>
      <w:r>
        <w:rPr>
          <w:rFonts w:hint="eastAsia" w:ascii="方正小标宋简体" w:hAnsi="黑体" w:eastAsia="方正小标宋简体" w:cs="黑体"/>
          <w:color w:val="000000"/>
          <w:sz w:val="42"/>
          <w:szCs w:val="44"/>
        </w:rPr>
        <w:t>优秀应届本科毕业生免试攻读研究生工作</w:t>
      </w:r>
    </w:p>
    <w:p w14:paraId="11866992">
      <w:pPr>
        <w:pStyle w:val="4"/>
        <w:widowControl w:val="0"/>
        <w:shd w:val="clear"/>
        <w:spacing w:before="0" w:beforeAutospacing="0" w:after="0" w:afterAutospacing="0" w:line="700" w:lineRule="exact"/>
        <w:ind w:right="74"/>
        <w:jc w:val="center"/>
        <w:rPr>
          <w:rFonts w:ascii="黑体" w:hAnsi="黑体" w:eastAsia="方正小标宋简体" w:cs="仿宋_GB2312"/>
          <w:color w:val="000000"/>
          <w:sz w:val="32"/>
          <w:szCs w:val="32"/>
        </w:rPr>
      </w:pPr>
      <w:r>
        <w:rPr>
          <w:rFonts w:hint="eastAsia" w:ascii="方正小标宋简体" w:hAnsi="黑体" w:eastAsia="方正小标宋简体" w:cs="黑体"/>
          <w:color w:val="000000"/>
          <w:sz w:val="42"/>
          <w:szCs w:val="44"/>
        </w:rPr>
        <w:t>考查评分实施细则</w:t>
      </w:r>
    </w:p>
    <w:p w14:paraId="081F34FA">
      <w:pPr>
        <w:shd w:val="clear"/>
        <w:spacing w:line="600" w:lineRule="exact"/>
        <w:jc w:val="center"/>
        <w:rPr>
          <w:rFonts w:ascii="黑体" w:hAnsi="黑体" w:eastAsia="黑体" w:cs="仿宋_GB2312"/>
          <w:color w:val="000000"/>
          <w:sz w:val="32"/>
          <w:szCs w:val="32"/>
        </w:rPr>
      </w:pPr>
    </w:p>
    <w:p w14:paraId="2929A065">
      <w:pPr>
        <w:pStyle w:val="4"/>
        <w:widowControl w:val="0"/>
        <w:shd w:val="clear"/>
        <w:spacing w:before="0" w:beforeAutospacing="0" w:after="0" w:afterAutospacing="0" w:line="580" w:lineRule="exact"/>
        <w:ind w:right="74"/>
        <w:jc w:val="center"/>
        <w:rPr>
          <w:rFonts w:ascii="黑体" w:hAnsi="黑体" w:eastAsia="黑体" w:cs="Times New Roman"/>
          <w:b/>
          <w:color w:val="000000"/>
          <w:kern w:val="2"/>
          <w:sz w:val="32"/>
          <w:szCs w:val="32"/>
        </w:rPr>
      </w:pPr>
      <w:r>
        <w:rPr>
          <w:rFonts w:hint="eastAsia" w:ascii="黑体" w:hAnsi="黑体" w:eastAsia="黑体" w:cs="黑体"/>
          <w:color w:val="000000"/>
          <w:sz w:val="32"/>
          <w:szCs w:val="32"/>
        </w:rPr>
        <w:t>第一章</w:t>
      </w:r>
      <w:r>
        <w:rPr>
          <w:rFonts w:hint="eastAsia" w:ascii="黑体" w:hAnsi="黑体" w:eastAsia="黑体" w:cs="黑体"/>
          <w:b/>
          <w:color w:val="000000"/>
          <w:kern w:val="2"/>
          <w:sz w:val="32"/>
          <w:szCs w:val="32"/>
        </w:rPr>
        <w:t xml:space="preserve"> </w:t>
      </w:r>
      <w:r>
        <w:rPr>
          <w:rFonts w:hint="eastAsia" w:ascii="黑体" w:hAnsi="黑体" w:eastAsia="黑体" w:cs="黑体"/>
          <w:color w:val="000000"/>
          <w:sz w:val="32"/>
          <w:szCs w:val="32"/>
        </w:rPr>
        <w:t>总则</w:t>
      </w:r>
    </w:p>
    <w:p w14:paraId="1B39C16C">
      <w:pPr>
        <w:shd w:val="clear"/>
        <w:spacing w:line="580" w:lineRule="exact"/>
        <w:ind w:firstLine="630" w:firstLineChars="196"/>
        <w:rPr>
          <w:rFonts w:ascii="仿宋" w:hAnsi="仿宋" w:eastAsia="仿宋" w:cs="仿宋"/>
          <w:color w:val="000000"/>
          <w:sz w:val="32"/>
          <w:szCs w:val="32"/>
        </w:rPr>
      </w:pPr>
      <w:r>
        <w:rPr>
          <w:rFonts w:hint="eastAsia" w:ascii="仿宋" w:hAnsi="仿宋" w:eastAsia="仿宋" w:cs="仿宋"/>
          <w:b/>
          <w:bCs/>
          <w:color w:val="000000"/>
          <w:sz w:val="32"/>
          <w:szCs w:val="32"/>
        </w:rPr>
        <w:t>第一条</w:t>
      </w:r>
      <w:r>
        <w:rPr>
          <w:rFonts w:hint="eastAsia" w:ascii="仿宋" w:hAnsi="仿宋" w:eastAsia="仿宋" w:cs="仿宋"/>
          <w:color w:val="000000"/>
          <w:sz w:val="32"/>
          <w:szCs w:val="32"/>
        </w:rPr>
        <w:t xml:space="preserve">  为做好未来农业研究院（以下简称“</w:t>
      </w:r>
      <w:r>
        <w:rPr>
          <w:rFonts w:hint="eastAsia" w:ascii="仿宋" w:hAnsi="仿宋" w:eastAsia="仿宋" w:cs="仿宋"/>
          <w:color w:val="000000"/>
          <w:sz w:val="32"/>
          <w:szCs w:val="32"/>
          <w:lang w:val="en-US" w:eastAsia="zh-CN"/>
        </w:rPr>
        <w:t>未来院</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遴选</w:t>
      </w:r>
      <w:r>
        <w:rPr>
          <w:rFonts w:hint="eastAsia" w:ascii="仿宋" w:hAnsi="仿宋" w:eastAsia="仿宋" w:cs="仿宋"/>
          <w:color w:val="000000"/>
          <w:sz w:val="32"/>
          <w:szCs w:val="32"/>
        </w:rPr>
        <w:t>优秀应届本科毕业生免试攻读硕士学位研究生（以下简称“推免生”）考查评分工作，根据</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西北农林科技大学推荐优秀应届本科毕业生免试攻读研究生实施办法》（校研发〔2024〕236号）和《未来农业研究院</w:t>
      </w:r>
      <w:r>
        <w:rPr>
          <w:rFonts w:hint="eastAsia" w:ascii="仿宋" w:hAnsi="仿宋" w:eastAsia="仿宋" w:cs="仿宋"/>
          <w:color w:val="000000"/>
          <w:sz w:val="32"/>
          <w:szCs w:val="32"/>
          <w:lang w:eastAsia="zh-CN"/>
        </w:rPr>
        <w:t>202</w:t>
      </w:r>
      <w:r>
        <w:rPr>
          <w:rFonts w:hint="eastAsia" w:ascii="仿宋" w:hAnsi="仿宋" w:eastAsia="仿宋" w:cs="仿宋"/>
          <w:color w:val="000000"/>
          <w:sz w:val="32"/>
          <w:szCs w:val="32"/>
          <w:lang w:val="en-US" w:eastAsia="zh-CN"/>
        </w:rPr>
        <w:t>6</w:t>
      </w:r>
      <w:r>
        <w:rPr>
          <w:rFonts w:hint="eastAsia" w:ascii="仿宋" w:hAnsi="仿宋" w:eastAsia="仿宋" w:cs="仿宋"/>
          <w:color w:val="000000"/>
          <w:sz w:val="32"/>
          <w:szCs w:val="32"/>
        </w:rPr>
        <w:t>年推荐优秀应届本科毕业生免试攻读研究生工作实施细则》，本着公平、公正、公开的原则，特制定本细则。</w:t>
      </w:r>
    </w:p>
    <w:p w14:paraId="18B620D1">
      <w:pPr>
        <w:shd w:val="clear"/>
        <w:spacing w:line="580" w:lineRule="exact"/>
        <w:jc w:val="center"/>
        <w:rPr>
          <w:rFonts w:ascii="黑体" w:hAnsi="黑体" w:eastAsia="黑体" w:cs="仿宋_GB2312"/>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b/>
          <w:color w:val="000000"/>
          <w:sz w:val="32"/>
          <w:szCs w:val="32"/>
        </w:rPr>
        <w:t xml:space="preserve"> </w:t>
      </w:r>
      <w:r>
        <w:rPr>
          <w:rFonts w:hint="eastAsia" w:ascii="黑体" w:hAnsi="黑体" w:eastAsia="黑体" w:cs="仿宋_GB2312"/>
          <w:color w:val="000000"/>
          <w:sz w:val="32"/>
          <w:szCs w:val="32"/>
        </w:rPr>
        <w:t>评分办法</w:t>
      </w:r>
    </w:p>
    <w:p w14:paraId="1F7D94CC">
      <w:pPr>
        <w:shd w:val="clear"/>
        <w:spacing w:line="580" w:lineRule="exact"/>
        <w:ind w:firstLine="643" w:firstLineChars="200"/>
        <w:rPr>
          <w:rFonts w:ascii="仿宋" w:hAnsi="仿宋" w:eastAsia="仿宋" w:cs="仿宋"/>
          <w:sz w:val="32"/>
          <w:szCs w:val="32"/>
          <w:highlight w:val="yellow"/>
        </w:rPr>
      </w:pPr>
      <w:r>
        <w:rPr>
          <w:rFonts w:hint="eastAsia" w:ascii="仿宋" w:hAnsi="仿宋" w:eastAsia="仿宋" w:cs="仿宋"/>
          <w:b/>
          <w:bCs/>
          <w:sz w:val="32"/>
          <w:szCs w:val="32"/>
        </w:rPr>
        <w:t>第二条</w:t>
      </w:r>
      <w:r>
        <w:rPr>
          <w:rFonts w:hint="eastAsia" w:ascii="仿宋" w:hAnsi="仿宋" w:eastAsia="仿宋" w:cs="仿宋"/>
          <w:sz w:val="32"/>
          <w:szCs w:val="32"/>
        </w:rPr>
        <w:t xml:space="preserve">  根据相关文件要求，</w:t>
      </w:r>
      <w:r>
        <w:rPr>
          <w:rFonts w:hint="eastAsia" w:ascii="仿宋" w:hAnsi="仿宋" w:eastAsia="仿宋" w:cs="仿宋"/>
          <w:sz w:val="32"/>
          <w:szCs w:val="32"/>
          <w:lang w:eastAsia="zh-CN"/>
        </w:rPr>
        <w:t>未来院</w:t>
      </w:r>
      <w:r>
        <w:rPr>
          <w:rFonts w:hint="eastAsia" w:ascii="仿宋" w:hAnsi="仿宋" w:eastAsia="仿宋" w:cs="仿宋"/>
          <w:sz w:val="32"/>
          <w:szCs w:val="32"/>
        </w:rPr>
        <w:t>对相关学院符合基本条件的本科毕业生从思想政治品德、学业成绩、科研潜质等三个方面进行综合考核。考核总成绩满分为100分，其中思想政治品德考核成绩占总成绩的10%、学业成绩占总成绩的40%、科研潜质考核成绩占总成绩的50%。</w:t>
      </w:r>
    </w:p>
    <w:p w14:paraId="0FE0CE07">
      <w:pPr>
        <w:shd w:val="clea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综合成绩的计算公式如下：</w:t>
      </w:r>
    </w:p>
    <w:p w14:paraId="43E3F756">
      <w:pPr>
        <w:shd w:val="clea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综合成绩（满分100分）=思想政治品德考核成绩×10%+学业成绩×40%+科研潜质考核成绩×50%。</w:t>
      </w:r>
    </w:p>
    <w:p w14:paraId="4F399375">
      <w:pPr>
        <w:shd w:val="clear"/>
        <w:spacing w:line="580" w:lineRule="exact"/>
        <w:ind w:firstLine="643" w:firstLineChars="200"/>
        <w:rPr>
          <w:rFonts w:ascii="仿宋" w:hAnsi="仿宋" w:eastAsia="仿宋" w:cs="仿宋"/>
          <w:sz w:val="32"/>
          <w:szCs w:val="32"/>
        </w:rPr>
      </w:pPr>
      <w:r>
        <w:rPr>
          <w:rFonts w:hint="eastAsia" w:ascii="仿宋" w:hAnsi="仿宋" w:eastAsia="仿宋" w:cs="仿宋"/>
          <w:b/>
          <w:bCs/>
          <w:sz w:val="32"/>
          <w:szCs w:val="32"/>
        </w:rPr>
        <w:t>第三条</w:t>
      </w:r>
      <w:r>
        <w:rPr>
          <w:rFonts w:hint="eastAsia" w:ascii="仿宋" w:hAnsi="仿宋" w:eastAsia="仿宋" w:cs="仿宋"/>
          <w:sz w:val="32"/>
          <w:szCs w:val="32"/>
        </w:rPr>
        <w:t xml:space="preserve">  思想政治品德考核成绩（A）满分为100分，由思政课成绩与综合测评德育成绩两部分组成，各占50%。其中，思政课成绩为大学期间所有思政课成绩的加权平均分，综合测评德育成绩为各学年综合测评德育成绩的算术平均分。思想政治品德考核成绩由学生所在党委（党总支）出具。</w:t>
      </w:r>
    </w:p>
    <w:p w14:paraId="74C4C74F">
      <w:pPr>
        <w:shd w:val="clear"/>
        <w:spacing w:after="156" w:afterLines="50" w:line="5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思想政治品德考核成绩60分及以上的学生方具备推免生遴选资格。计算办法如下：</w:t>
      </w:r>
    </w:p>
    <w:p w14:paraId="009CF3B7">
      <w:pPr>
        <w:shd w:val="clear"/>
        <w:ind w:firstLine="641" w:firstLineChars="304"/>
        <w:rPr>
          <w:rFonts w:hint="eastAsia" w:ascii="仿宋" w:hAnsi="仿宋" w:eastAsia="仿宋" w:cs="仿宋"/>
          <w:b/>
          <w:bCs/>
        </w:rPr>
      </w:pPr>
      <w:r>
        <w:rPr>
          <w:rFonts w:hint="eastAsia" w:ascii="仿宋" w:hAnsi="仿宋" w:eastAsia="仿宋" w:cs="仿宋"/>
          <w:b/>
          <w:bCs/>
        </w:rPr>
        <w:drawing>
          <wp:inline distT="0" distB="0" distL="114300" distR="114300">
            <wp:extent cx="5255895" cy="523240"/>
            <wp:effectExtent l="0" t="0" r="1905" b="1079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4"/>
                    <a:stretch>
                      <a:fillRect/>
                    </a:stretch>
                  </pic:blipFill>
                  <pic:spPr>
                    <a:xfrm>
                      <a:off x="0" y="0"/>
                      <a:ext cx="5255895" cy="523240"/>
                    </a:xfrm>
                    <a:prstGeom prst="rect">
                      <a:avLst/>
                    </a:prstGeom>
                    <a:noFill/>
                    <a:ln>
                      <a:noFill/>
                    </a:ln>
                  </pic:spPr>
                </pic:pic>
              </a:graphicData>
            </a:graphic>
          </wp:inline>
        </w:drawing>
      </w:r>
    </w:p>
    <w:p w14:paraId="1025A377">
      <w:pPr>
        <w:shd w:val="clear"/>
        <w:ind w:firstLine="729" w:firstLineChars="304"/>
        <w:rPr>
          <w:rFonts w:hint="default" w:ascii="仿宋" w:hAnsi="仿宋" w:eastAsia="仿宋" w:cs="仿宋"/>
          <w:b/>
          <w:bCs/>
          <w:sz w:val="24"/>
          <w:szCs w:val="24"/>
          <w:lang w:val="en-US" w:eastAsia="zh-CN"/>
        </w:rPr>
      </w:pPr>
      <w:r>
        <w:rPr>
          <w:rFonts w:hint="eastAsia" w:ascii="仿宋" w:hAnsi="仿宋" w:eastAsia="仿宋" w:cs="仿宋"/>
          <w:b w:val="0"/>
          <w:bCs w:val="0"/>
          <w:sz w:val="24"/>
          <w:szCs w:val="24"/>
          <w:lang w:val="en-US" w:eastAsia="zh-CN"/>
        </w:rPr>
        <w:t>注：综测德育成绩满分为10分，采用此公式。</w:t>
      </w:r>
    </w:p>
    <w:p w14:paraId="21913534">
      <w:pPr>
        <w:shd w:val="clear"/>
        <w:ind w:firstLine="641" w:firstLineChars="304"/>
        <w:rPr>
          <w:rFonts w:hint="eastAsia" w:ascii="仿宋" w:hAnsi="仿宋" w:eastAsia="仿宋" w:cs="仿宋"/>
          <w:b/>
          <w:bCs/>
          <w:lang w:val="en-US" w:eastAsia="zh-CN"/>
        </w:rPr>
      </w:pPr>
    </w:p>
    <w:p w14:paraId="65563E2C">
      <w:pPr>
        <w:shd w:val="clear"/>
        <w:ind w:firstLine="729" w:firstLineChars="304"/>
        <w:rPr>
          <w:rFonts w:hint="default" w:ascii="仿宋" w:hAnsi="仿宋" w:eastAsia="仿宋" w:cs="仿宋"/>
          <w:b/>
          <w:bCs/>
          <w:lang w:val="en-US" w:eastAsia="zh-CN"/>
        </w:rPr>
      </w:pPr>
      <w:r>
        <w:rPr>
          <w:sz w:val="24"/>
          <w:szCs w:val="24"/>
        </w:rPr>
        <w:drawing>
          <wp:inline distT="0" distB="0" distL="0" distR="0">
            <wp:extent cx="5219700" cy="523240"/>
            <wp:effectExtent l="0" t="0" r="0" b="10795"/>
            <wp:docPr id="207194853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948535"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r="26545"/>
                    <a:stretch>
                      <a:fillRect/>
                    </a:stretch>
                  </pic:blipFill>
                  <pic:spPr>
                    <a:xfrm>
                      <a:off x="0" y="0"/>
                      <a:ext cx="5219700" cy="523240"/>
                    </a:xfrm>
                    <a:prstGeom prst="rect">
                      <a:avLst/>
                    </a:prstGeom>
                    <a:noFill/>
                    <a:ln>
                      <a:noFill/>
                    </a:ln>
                  </pic:spPr>
                </pic:pic>
              </a:graphicData>
            </a:graphic>
          </wp:inline>
        </w:drawing>
      </w:r>
    </w:p>
    <w:p w14:paraId="04F2C5DA">
      <w:pPr>
        <w:shd w:val="clear"/>
        <w:ind w:firstLine="729" w:firstLineChars="304"/>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注：综测德育成绩满分为50分，采用此公式。</w:t>
      </w:r>
    </w:p>
    <w:p w14:paraId="1CADBC02">
      <w:pPr>
        <w:shd w:val="clear"/>
        <w:ind w:firstLine="641" w:firstLineChars="304"/>
        <w:rPr>
          <w:rFonts w:hint="eastAsia" w:ascii="仿宋" w:hAnsi="仿宋" w:eastAsia="仿宋" w:cs="仿宋"/>
          <w:b/>
          <w:bCs/>
          <w:lang w:eastAsia="zh-CN"/>
        </w:rPr>
      </w:pPr>
    </w:p>
    <w:p w14:paraId="11B1C4C1">
      <w:pPr>
        <w:shd w:val="clear"/>
        <w:spacing w:line="580" w:lineRule="exact"/>
        <w:ind w:firstLine="643" w:firstLineChars="200"/>
        <w:rPr>
          <w:rFonts w:ascii="仿宋" w:hAnsi="仿宋" w:eastAsia="仿宋" w:cs="仿宋"/>
          <w:sz w:val="32"/>
          <w:szCs w:val="32"/>
        </w:rPr>
      </w:pPr>
      <w:r>
        <w:rPr>
          <w:rFonts w:hint="eastAsia" w:ascii="仿宋" w:hAnsi="仿宋" w:eastAsia="仿宋" w:cs="仿宋"/>
          <w:b/>
          <w:bCs/>
          <w:sz w:val="32"/>
          <w:szCs w:val="32"/>
        </w:rPr>
        <w:t>第四条</w:t>
      </w:r>
      <w:r>
        <w:rPr>
          <w:rFonts w:hint="eastAsia" w:ascii="仿宋" w:hAnsi="仿宋" w:eastAsia="仿宋" w:cs="仿宋"/>
          <w:sz w:val="32"/>
          <w:szCs w:val="32"/>
        </w:rPr>
        <w:t xml:space="preserve">  学业成绩满分为100分，由学生所在学院按照教务处相关办法统一换算认定。</w:t>
      </w:r>
    </w:p>
    <w:p w14:paraId="24BA33B8">
      <w:pPr>
        <w:shd w:val="clear"/>
        <w:spacing w:line="580" w:lineRule="exact"/>
        <w:ind w:firstLine="643" w:firstLineChars="200"/>
        <w:rPr>
          <w:rFonts w:ascii="仿宋" w:hAnsi="仿宋" w:eastAsia="仿宋" w:cs="仿宋"/>
          <w:sz w:val="32"/>
          <w:szCs w:val="32"/>
          <w:highlight w:val="yellow"/>
        </w:rPr>
      </w:pPr>
      <w:r>
        <w:rPr>
          <w:rFonts w:hint="eastAsia" w:ascii="仿宋" w:hAnsi="仿宋" w:eastAsia="仿宋" w:cs="仿宋"/>
          <w:b/>
          <w:bCs/>
          <w:sz w:val="32"/>
          <w:szCs w:val="32"/>
        </w:rPr>
        <w:t>第五条</w:t>
      </w:r>
      <w:r>
        <w:rPr>
          <w:rFonts w:hint="eastAsia" w:ascii="仿宋" w:hAnsi="仿宋" w:eastAsia="仿宋" w:cs="仿宋"/>
          <w:sz w:val="32"/>
          <w:szCs w:val="32"/>
        </w:rPr>
        <w:t xml:space="preserve">  科研潜质满分为100分，综合考量学生科研基本素养，主要包括科研能力评价和科研潜质加分两部分。具体考核办法如下：</w:t>
      </w:r>
    </w:p>
    <w:p w14:paraId="440EA2B8">
      <w:pPr>
        <w:shd w:val="clea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1.科研能力评价（50分）</w:t>
      </w:r>
    </w:p>
    <w:p w14:paraId="0B820044">
      <w:pPr>
        <w:shd w:val="clear"/>
        <w:spacing w:line="580" w:lineRule="exact"/>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由推免生科研能力评价小组进行评价，主要考核外语表达能力、文献阅读能力、专业知识、创新能力、科研水平等</w:t>
      </w:r>
      <w:r>
        <w:rPr>
          <w:rFonts w:hint="eastAsia" w:ascii="仿宋" w:hAnsi="仿宋" w:eastAsia="仿宋" w:cs="仿宋"/>
          <w:sz w:val="32"/>
          <w:szCs w:val="32"/>
          <w:lang w:eastAsia="zh-CN"/>
        </w:rPr>
        <w:t>。</w:t>
      </w:r>
    </w:p>
    <w:p w14:paraId="7DB5C049">
      <w:pPr>
        <w:shd w:val="clear"/>
        <w:spacing w:line="58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2.</w:t>
      </w:r>
      <w:r>
        <w:rPr>
          <w:rFonts w:hint="eastAsia" w:ascii="仿宋" w:hAnsi="仿宋" w:eastAsia="仿宋" w:cs="仿宋"/>
          <w:sz w:val="32"/>
          <w:szCs w:val="32"/>
        </w:rPr>
        <w:t>科研潜质加分（50分）</w:t>
      </w:r>
    </w:p>
    <w:p w14:paraId="10E65A85">
      <w:pPr>
        <w:shd w:val="clea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综合考量学生科研基本素养，主要包括国际组织实习、应征入伍、外语水平、科技竞赛、学术研究以及发明及专利等，具体加分内容见附件。</w:t>
      </w:r>
    </w:p>
    <w:p w14:paraId="40E0C72E">
      <w:pPr>
        <w:shd w:val="clear"/>
        <w:spacing w:line="580" w:lineRule="exact"/>
        <w:ind w:firstLine="643" w:firstLineChars="200"/>
        <w:rPr>
          <w:rFonts w:ascii="仿宋" w:hAnsi="仿宋" w:eastAsia="仿宋" w:cs="仿宋"/>
          <w:color w:val="000000"/>
          <w:sz w:val="32"/>
          <w:szCs w:val="32"/>
        </w:rPr>
      </w:pPr>
      <w:r>
        <w:rPr>
          <w:rFonts w:hint="eastAsia" w:ascii="仿宋" w:hAnsi="仿宋" w:eastAsia="仿宋" w:cs="仿宋"/>
          <w:b/>
          <w:bCs/>
          <w:sz w:val="32"/>
          <w:szCs w:val="32"/>
        </w:rPr>
        <w:t>第六条</w:t>
      </w:r>
      <w:r>
        <w:rPr>
          <w:rFonts w:hint="eastAsia" w:ascii="仿宋" w:hAnsi="仿宋" w:eastAsia="仿宋" w:cs="仿宋"/>
          <w:sz w:val="32"/>
          <w:szCs w:val="32"/>
        </w:rPr>
        <w:t xml:space="preserve">  推免生遴选工作小组按照总成绩由高到低排名，并依据推荐指标数</w:t>
      </w:r>
      <w:r>
        <w:rPr>
          <w:rFonts w:hint="eastAsia" w:ascii="仿宋" w:hAnsi="仿宋" w:eastAsia="仿宋" w:cs="仿宋"/>
          <w:color w:val="000000"/>
          <w:sz w:val="32"/>
          <w:szCs w:val="32"/>
        </w:rPr>
        <w:t>确定初选名单。初选名单需</w:t>
      </w:r>
      <w:r>
        <w:rPr>
          <w:rFonts w:hint="eastAsia" w:ascii="仿宋" w:hAnsi="仿宋" w:eastAsia="仿宋" w:cs="仿宋"/>
          <w:color w:val="000000"/>
          <w:sz w:val="32"/>
          <w:szCs w:val="32"/>
          <w:lang w:eastAsia="zh-CN"/>
        </w:rPr>
        <w:t>在未来院</w:t>
      </w:r>
      <w:r>
        <w:rPr>
          <w:rFonts w:hint="eastAsia" w:ascii="仿宋" w:hAnsi="仿宋" w:eastAsia="仿宋" w:cs="仿宋"/>
          <w:color w:val="000000"/>
          <w:sz w:val="32"/>
          <w:szCs w:val="32"/>
        </w:rPr>
        <w:t>公示不少于3个工作日。公示无异议后，将初选名单连同有关材料报送研究生院。</w:t>
      </w:r>
    </w:p>
    <w:p w14:paraId="40CE2F98">
      <w:pPr>
        <w:shd w:val="clear"/>
        <w:spacing w:line="580" w:lineRule="exact"/>
        <w:jc w:val="center"/>
        <w:rPr>
          <w:rFonts w:ascii="仿宋" w:hAnsi="仿宋" w:eastAsia="仿宋" w:cs="仿宋"/>
          <w:color w:val="000000"/>
          <w:sz w:val="32"/>
          <w:szCs w:val="32"/>
        </w:rPr>
      </w:pPr>
      <w:r>
        <w:rPr>
          <w:rFonts w:hint="eastAsia" w:ascii="黑体" w:hAnsi="黑体" w:eastAsia="黑体" w:cs="仿宋_GB2312"/>
          <w:sz w:val="32"/>
          <w:szCs w:val="32"/>
        </w:rPr>
        <w:t>第三章 其</w:t>
      </w:r>
      <w:r>
        <w:rPr>
          <w:rFonts w:hint="eastAsia" w:ascii="黑体" w:hAnsi="黑体" w:eastAsia="黑体" w:cs="仿宋_GB2312"/>
          <w:sz w:val="32"/>
          <w:szCs w:val="32"/>
          <w:lang w:val="en-US" w:eastAsia="zh-CN"/>
        </w:rPr>
        <w:t xml:space="preserve">  </w:t>
      </w:r>
      <w:r>
        <w:rPr>
          <w:rFonts w:hint="eastAsia" w:ascii="黑体" w:hAnsi="黑体" w:eastAsia="黑体" w:cs="仿宋_GB2312"/>
          <w:sz w:val="32"/>
          <w:szCs w:val="32"/>
        </w:rPr>
        <w:t>他</w:t>
      </w:r>
    </w:p>
    <w:p w14:paraId="4161364A">
      <w:pPr>
        <w:shd w:val="clear"/>
        <w:adjustRightInd w:val="0"/>
        <w:spacing w:line="580" w:lineRule="exact"/>
        <w:ind w:firstLine="643" w:firstLineChars="200"/>
        <w:jc w:val="left"/>
        <w:rPr>
          <w:rFonts w:ascii="仿宋" w:hAnsi="仿宋" w:eastAsia="仿宋" w:cs="仿宋"/>
          <w:sz w:val="32"/>
          <w:szCs w:val="32"/>
        </w:rPr>
      </w:pPr>
      <w:r>
        <w:rPr>
          <w:rFonts w:hint="eastAsia" w:ascii="仿宋" w:hAnsi="仿宋" w:eastAsia="仿宋" w:cs="仿宋"/>
          <w:b/>
          <w:bCs/>
          <w:sz w:val="32"/>
          <w:szCs w:val="32"/>
        </w:rPr>
        <w:t>第七条</w:t>
      </w:r>
      <w:r>
        <w:rPr>
          <w:rFonts w:hint="eastAsia" w:ascii="仿宋" w:hAnsi="仿宋" w:eastAsia="仿宋" w:cs="仿宋"/>
          <w:sz w:val="32"/>
          <w:szCs w:val="32"/>
        </w:rPr>
        <w:t xml:space="preserve">  本细则未尽事宜，由</w:t>
      </w:r>
      <w:r>
        <w:rPr>
          <w:rFonts w:hint="eastAsia" w:ascii="仿宋" w:hAnsi="仿宋" w:eastAsia="仿宋" w:cs="仿宋"/>
          <w:sz w:val="32"/>
          <w:szCs w:val="32"/>
          <w:lang w:eastAsia="zh-CN"/>
        </w:rPr>
        <w:t>未来院</w:t>
      </w:r>
      <w:r>
        <w:rPr>
          <w:rFonts w:hint="eastAsia" w:ascii="仿宋" w:hAnsi="仿宋" w:eastAsia="仿宋" w:cs="仿宋"/>
          <w:sz w:val="32"/>
          <w:szCs w:val="32"/>
        </w:rPr>
        <w:t>推免生遴选工作小组负责解释。</w:t>
      </w:r>
    </w:p>
    <w:p w14:paraId="58A3B06F">
      <w:pPr>
        <w:shd w:val="clear"/>
        <w:spacing w:line="580" w:lineRule="exact"/>
        <w:ind w:firstLine="640" w:firstLineChars="200"/>
        <w:rPr>
          <w:rFonts w:ascii="仿宋" w:hAnsi="仿宋" w:eastAsia="仿宋" w:cs="仿宋"/>
          <w:sz w:val="32"/>
          <w:szCs w:val="32"/>
        </w:rPr>
      </w:pPr>
    </w:p>
    <w:p w14:paraId="26C5594F">
      <w:pPr>
        <w:shd w:val="clear"/>
        <w:rPr>
          <w:rFonts w:ascii="仿宋" w:hAnsi="仿宋" w:eastAsia="仿宋" w:cs="仿宋"/>
          <w:sz w:val="32"/>
          <w:szCs w:val="32"/>
        </w:rPr>
        <w:sectPr>
          <w:pgSz w:w="11906" w:h="16838"/>
          <w:pgMar w:top="2098" w:right="1474" w:bottom="1984" w:left="1587" w:header="851" w:footer="992" w:gutter="0"/>
          <w:cols w:space="425" w:num="1"/>
          <w:docGrid w:type="lines" w:linePitch="312" w:charSpace="0"/>
        </w:sectPr>
      </w:pPr>
    </w:p>
    <w:p w14:paraId="65403F0D">
      <w:pPr>
        <w:widowControl/>
        <w:shd w:val="clear"/>
        <w:snapToGrid w:val="0"/>
        <w:spacing w:before="156" w:beforeLines="50" w:after="156" w:afterLines="50" w:line="300" w:lineRule="auto"/>
        <w:jc w:val="left"/>
        <w:rPr>
          <w:rFonts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r>
        <w:rPr>
          <w:rFonts w:hint="eastAsia" w:ascii="黑体" w:hAnsi="黑体" w:eastAsia="黑体" w:cs="黑体"/>
          <w:sz w:val="32"/>
          <w:szCs w:val="32"/>
        </w:rPr>
        <w:t>：</w:t>
      </w:r>
    </w:p>
    <w:p w14:paraId="50A60975">
      <w:pPr>
        <w:widowControl/>
        <w:shd w:val="clear"/>
        <w:snapToGrid w:val="0"/>
        <w:spacing w:before="156" w:beforeLines="50" w:after="156" w:afterLines="50" w:line="300" w:lineRule="auto"/>
        <w:ind w:firstLine="640" w:firstLineChars="200"/>
        <w:jc w:val="center"/>
        <w:rPr>
          <w:rFonts w:ascii="仿宋" w:hAnsi="仿宋" w:eastAsia="黑体" w:cs="仿宋"/>
          <w:b/>
          <w:bCs/>
          <w:sz w:val="32"/>
          <w:szCs w:val="32"/>
        </w:rPr>
      </w:pPr>
      <w:r>
        <w:rPr>
          <w:rFonts w:hint="eastAsia" w:ascii="黑体" w:hAnsi="黑体" w:eastAsia="黑体" w:cs="黑体"/>
          <w:sz w:val="32"/>
          <w:szCs w:val="32"/>
        </w:rPr>
        <w:t>科研潜质</w:t>
      </w:r>
      <w:r>
        <w:rPr>
          <w:rFonts w:hint="eastAsia" w:ascii="黑体" w:hAnsi="黑体" w:eastAsia="黑体" w:cs="黑体"/>
          <w:sz w:val="32"/>
          <w:szCs w:val="32"/>
          <w:lang w:eastAsia="zh-CN"/>
        </w:rPr>
        <w:t>考查</w:t>
      </w:r>
      <w:r>
        <w:rPr>
          <w:rFonts w:hint="eastAsia" w:ascii="黑体" w:hAnsi="黑体" w:eastAsia="黑体" w:cs="黑体"/>
          <w:sz w:val="32"/>
          <w:szCs w:val="32"/>
        </w:rPr>
        <w:t>指标体系</w:t>
      </w:r>
    </w:p>
    <w:tbl>
      <w:tblPr>
        <w:tblStyle w:val="5"/>
        <w:tblW w:w="92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1"/>
        <w:gridCol w:w="3371"/>
        <w:gridCol w:w="4173"/>
      </w:tblGrid>
      <w:tr w14:paraId="3629D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blHeader/>
          <w:jc w:val="center"/>
        </w:trPr>
        <w:tc>
          <w:tcPr>
            <w:tcW w:w="1751" w:type="dxa"/>
            <w:vAlign w:val="center"/>
          </w:tcPr>
          <w:p w14:paraId="08021E47">
            <w:pPr>
              <w:widowControl/>
              <w:shd w:val="clear"/>
              <w:snapToGrid w:val="0"/>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eastAsia="zh-CN"/>
              </w:rPr>
              <w:t>考查</w:t>
            </w:r>
            <w:r>
              <w:rPr>
                <w:rFonts w:hint="eastAsia" w:asciiTheme="minorEastAsia" w:hAnsiTheme="minorEastAsia" w:eastAsiaTheme="minorEastAsia" w:cstheme="minorEastAsia"/>
                <w:b/>
                <w:bCs/>
                <w:sz w:val="24"/>
              </w:rPr>
              <w:t>指标</w:t>
            </w:r>
          </w:p>
        </w:tc>
        <w:tc>
          <w:tcPr>
            <w:tcW w:w="7544" w:type="dxa"/>
            <w:gridSpan w:val="2"/>
            <w:vAlign w:val="center"/>
          </w:tcPr>
          <w:p w14:paraId="280BCC81">
            <w:pPr>
              <w:widowControl/>
              <w:shd w:val="clear"/>
              <w:snapToGrid w:val="0"/>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加分项目</w:t>
            </w:r>
          </w:p>
        </w:tc>
      </w:tr>
      <w:tr w14:paraId="72539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exact"/>
          <w:jc w:val="center"/>
        </w:trPr>
        <w:tc>
          <w:tcPr>
            <w:tcW w:w="1751" w:type="dxa"/>
            <w:vAlign w:val="center"/>
          </w:tcPr>
          <w:p w14:paraId="28972AE5">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国际组织实习</w:t>
            </w:r>
          </w:p>
          <w:p w14:paraId="613348A7">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（8分）</w:t>
            </w:r>
          </w:p>
        </w:tc>
        <w:tc>
          <w:tcPr>
            <w:tcW w:w="7544" w:type="dxa"/>
            <w:gridSpan w:val="2"/>
            <w:vAlign w:val="center"/>
          </w:tcPr>
          <w:p w14:paraId="08660FFF">
            <w:pPr>
              <w:widowControl/>
              <w:shd w:val="clear"/>
              <w:snapToGrid w:val="0"/>
              <w:ind w:firstLine="480"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sz w:val="24"/>
              </w:rPr>
              <w:t>在校期间申请到国际组织实习（含连续三个月以上访学），每次加1分，累计加分不超过8分。</w:t>
            </w:r>
          </w:p>
        </w:tc>
      </w:tr>
      <w:tr w14:paraId="19C1D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exact"/>
          <w:jc w:val="center"/>
        </w:trPr>
        <w:tc>
          <w:tcPr>
            <w:tcW w:w="1751" w:type="dxa"/>
            <w:vAlign w:val="center"/>
          </w:tcPr>
          <w:p w14:paraId="78753AE8">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参军入伍</w:t>
            </w:r>
          </w:p>
          <w:p w14:paraId="7A7D96FB">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（5分）</w:t>
            </w:r>
          </w:p>
        </w:tc>
        <w:tc>
          <w:tcPr>
            <w:tcW w:w="7544" w:type="dxa"/>
            <w:gridSpan w:val="2"/>
            <w:vAlign w:val="center"/>
          </w:tcPr>
          <w:p w14:paraId="5FD57A2F">
            <w:pPr>
              <w:widowControl/>
              <w:shd w:val="clear"/>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在校期间积极响应国家应征入伍政策，有相应经历加5分。</w:t>
            </w:r>
          </w:p>
        </w:tc>
      </w:tr>
      <w:tr w14:paraId="45EA8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2" w:hRule="atLeast"/>
          <w:jc w:val="center"/>
        </w:trPr>
        <w:tc>
          <w:tcPr>
            <w:tcW w:w="1751" w:type="dxa"/>
            <w:vAlign w:val="center"/>
          </w:tcPr>
          <w:p w14:paraId="38C965CB">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综合发展</w:t>
            </w:r>
          </w:p>
          <w:p w14:paraId="03FD8D0E">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（5分）</w:t>
            </w:r>
          </w:p>
        </w:tc>
        <w:tc>
          <w:tcPr>
            <w:tcW w:w="7544" w:type="dxa"/>
            <w:gridSpan w:val="2"/>
            <w:vAlign w:val="center"/>
          </w:tcPr>
          <w:p w14:paraId="5F27BFD9">
            <w:pPr>
              <w:widowControl/>
              <w:shd w:val="clear"/>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（1）获得校级及以上党政部门颁发的优秀共产党员称号，按照国家级3分、省级2分、校级1分依次加分；</w:t>
            </w:r>
          </w:p>
          <w:p w14:paraId="290AA9F5">
            <w:pPr>
              <w:widowControl/>
              <w:shd w:val="clear"/>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（2）获得校级及以上党政部门颁发的优秀团员或者优秀学生（团）干部，按照国家级3分、省级2分、校级1分依次加分；</w:t>
            </w:r>
          </w:p>
          <w:p w14:paraId="5F3D5154">
            <w:pPr>
              <w:widowControl/>
              <w:shd w:val="clear"/>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（3）获得校级及以上社会实践先进个人（标兵）、优秀志愿者荣誉称号，按照国家级3分、省级2分、校级1分依次加分。</w:t>
            </w:r>
          </w:p>
          <w:p w14:paraId="6A5C3073">
            <w:pPr>
              <w:widowControl/>
              <w:shd w:val="clear"/>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所获荣誉经推免生遴选工作小组认定，即可加分。以上荣誉同一类型不重复加分，按最高成绩计算。累计加分不超过5分。</w:t>
            </w:r>
          </w:p>
        </w:tc>
      </w:tr>
      <w:tr w14:paraId="5FBC7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jc w:val="center"/>
        </w:trPr>
        <w:tc>
          <w:tcPr>
            <w:tcW w:w="1751" w:type="dxa"/>
            <w:vAlign w:val="center"/>
          </w:tcPr>
          <w:p w14:paraId="328B7784">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科研训练</w:t>
            </w:r>
          </w:p>
          <w:p w14:paraId="451695F3">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（2分）</w:t>
            </w:r>
          </w:p>
        </w:tc>
        <w:tc>
          <w:tcPr>
            <w:tcW w:w="7544" w:type="dxa"/>
            <w:gridSpan w:val="2"/>
            <w:vAlign w:val="center"/>
          </w:tcPr>
          <w:p w14:paraId="48EA126A">
            <w:pPr>
              <w:widowControl/>
              <w:shd w:val="clear"/>
              <w:snapToGrid w:val="0"/>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参与创新创业项目加1分，各类项目均不重复计分。</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含院级创新创业项目，如“启航计划”</w:t>
            </w:r>
            <w:r>
              <w:rPr>
                <w:rFonts w:hint="eastAsia" w:asciiTheme="minorEastAsia" w:hAnsiTheme="minorEastAsia" w:eastAsiaTheme="minorEastAsia" w:cstheme="minorEastAsia"/>
                <w:sz w:val="24"/>
                <w:lang w:eastAsia="zh-CN"/>
              </w:rPr>
              <w:t>）</w:t>
            </w:r>
          </w:p>
        </w:tc>
      </w:tr>
      <w:tr w14:paraId="4085E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exact"/>
          <w:jc w:val="center"/>
        </w:trPr>
        <w:tc>
          <w:tcPr>
            <w:tcW w:w="1751" w:type="dxa"/>
            <w:vMerge w:val="restart"/>
            <w:vAlign w:val="center"/>
          </w:tcPr>
          <w:p w14:paraId="7C94761B">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外语水平</w:t>
            </w:r>
          </w:p>
          <w:p w14:paraId="4A514C98">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（10分）</w:t>
            </w:r>
          </w:p>
        </w:tc>
        <w:tc>
          <w:tcPr>
            <w:tcW w:w="3371" w:type="dxa"/>
            <w:vMerge w:val="restart"/>
            <w:vAlign w:val="center"/>
          </w:tcPr>
          <w:p w14:paraId="5D456335">
            <w:pPr>
              <w:widowControl/>
              <w:shd w:val="clear"/>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外语水平认定经推免生遴选工作小组认定，即可加分。同一类型不重复加分，按最高成绩计算。</w:t>
            </w:r>
          </w:p>
        </w:tc>
        <w:tc>
          <w:tcPr>
            <w:tcW w:w="4173" w:type="dxa"/>
            <w:vAlign w:val="center"/>
          </w:tcPr>
          <w:p w14:paraId="04AC9BCA">
            <w:pPr>
              <w:widowControl/>
              <w:shd w:val="clear"/>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全国英语六级考试成绩在425分到479分加2分；480分到499分加3分；500分到549分加4分；550分到599分加5分；600分到649分加8分；650分以上者加10分。</w:t>
            </w:r>
          </w:p>
        </w:tc>
      </w:tr>
      <w:tr w14:paraId="4B287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3" w:hRule="exact"/>
          <w:jc w:val="center"/>
        </w:trPr>
        <w:tc>
          <w:tcPr>
            <w:tcW w:w="1751" w:type="dxa"/>
            <w:vMerge w:val="continue"/>
            <w:vAlign w:val="center"/>
          </w:tcPr>
          <w:p w14:paraId="20FCC4E6">
            <w:pPr>
              <w:widowControl/>
              <w:shd w:val="clear"/>
              <w:snapToGrid w:val="0"/>
              <w:jc w:val="center"/>
              <w:rPr>
                <w:rFonts w:asciiTheme="minorEastAsia" w:hAnsiTheme="minorEastAsia" w:eastAsiaTheme="minorEastAsia" w:cstheme="minorEastAsia"/>
                <w:sz w:val="24"/>
              </w:rPr>
            </w:pPr>
          </w:p>
        </w:tc>
        <w:tc>
          <w:tcPr>
            <w:tcW w:w="3371" w:type="dxa"/>
            <w:vMerge w:val="continue"/>
            <w:vAlign w:val="center"/>
          </w:tcPr>
          <w:p w14:paraId="7060561C">
            <w:pPr>
              <w:widowControl/>
              <w:shd w:val="clear"/>
              <w:snapToGrid w:val="0"/>
              <w:ind w:firstLine="480" w:firstLineChars="200"/>
              <w:rPr>
                <w:rFonts w:asciiTheme="minorEastAsia" w:hAnsiTheme="minorEastAsia" w:eastAsiaTheme="minorEastAsia" w:cstheme="minorEastAsia"/>
                <w:sz w:val="24"/>
              </w:rPr>
            </w:pPr>
          </w:p>
        </w:tc>
        <w:tc>
          <w:tcPr>
            <w:tcW w:w="4173" w:type="dxa"/>
            <w:vAlign w:val="center"/>
          </w:tcPr>
          <w:p w14:paraId="30C04F44">
            <w:pPr>
              <w:widowControl/>
              <w:shd w:val="clear"/>
              <w:snapToGrid w:val="0"/>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雅思成绩（有效期两年内）6.5分加2分，7.0及以上者加3分；托福成绩（有效期两年内）90分及以上100分以下加2分，100分及以上加3分；GRE（有效期两年内）310分及以上加2分，320分及以上加3分。不重复加分，按最高成绩计算。</w:t>
            </w:r>
          </w:p>
        </w:tc>
      </w:tr>
      <w:tr w14:paraId="2C535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5" w:hRule="atLeast"/>
          <w:jc w:val="center"/>
        </w:trPr>
        <w:tc>
          <w:tcPr>
            <w:tcW w:w="1751" w:type="dxa"/>
            <w:vAlign w:val="center"/>
          </w:tcPr>
          <w:p w14:paraId="35EB617B">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科技竞赛</w:t>
            </w:r>
          </w:p>
          <w:p w14:paraId="444DE871">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（10分）</w:t>
            </w:r>
          </w:p>
        </w:tc>
        <w:tc>
          <w:tcPr>
            <w:tcW w:w="7544" w:type="dxa"/>
            <w:gridSpan w:val="2"/>
            <w:vAlign w:val="center"/>
          </w:tcPr>
          <w:p w14:paraId="2D6628DE">
            <w:pPr>
              <w:widowControl/>
              <w:shd w:val="clear"/>
              <w:snapToGrid w:val="0"/>
              <w:ind w:firstLine="480" w:firstLineChars="200"/>
              <w:jc w:val="left"/>
              <w:rPr>
                <w:rFonts w:ascii="宋体" w:hAnsi="宋体"/>
                <w:sz w:val="24"/>
              </w:rPr>
            </w:pPr>
            <w:r>
              <w:rPr>
                <w:rFonts w:hint="eastAsia" w:ascii="宋体" w:hAnsi="宋体"/>
                <w:sz w:val="24"/>
              </w:rPr>
              <w:t>获得国家级（含国际级）学科竞赛A类特等、一等（金奖）、二等奖（银奖）和三等奖（铜奖），分别加5分、4分、3分和2分（团体项目得分均分给前五名参与者）；</w:t>
            </w:r>
          </w:p>
          <w:p w14:paraId="1D654C63">
            <w:pPr>
              <w:widowControl/>
              <w:shd w:val="clear"/>
              <w:snapToGrid w:val="0"/>
              <w:ind w:firstLine="480" w:firstLineChars="200"/>
              <w:jc w:val="left"/>
              <w:rPr>
                <w:rFonts w:ascii="宋体" w:hAnsi="宋体"/>
                <w:sz w:val="24"/>
              </w:rPr>
            </w:pPr>
            <w:r>
              <w:rPr>
                <w:rFonts w:hint="eastAsia" w:ascii="宋体" w:hAnsi="宋体"/>
                <w:sz w:val="24"/>
              </w:rPr>
              <w:t>获得国家级（含国际级）学科竞赛B类特等、一等（金奖）、二等奖（银奖）和三等奖（铜奖），分别加4分、3分、2分和1分（团体项目得分均分给前三名参与者）；</w:t>
            </w:r>
          </w:p>
          <w:p w14:paraId="24F10E74">
            <w:pPr>
              <w:widowControl/>
              <w:shd w:val="clear"/>
              <w:snapToGrid w:val="0"/>
              <w:ind w:firstLine="480" w:firstLineChars="200"/>
              <w:jc w:val="left"/>
              <w:rPr>
                <w:rFonts w:ascii="宋体" w:hAnsi="宋体"/>
                <w:sz w:val="24"/>
              </w:rPr>
            </w:pPr>
            <w:r>
              <w:rPr>
                <w:rFonts w:hint="eastAsia" w:ascii="宋体" w:hAnsi="宋体"/>
                <w:sz w:val="24"/>
              </w:rPr>
              <w:t>获得国家级（含国际级）学科竞赛C类特等、一等（金奖）、二等奖（银奖）和三等奖（铜奖），分别加3分、2分、1分和0.5分（团体项目得分均分给前三名参与者）。</w:t>
            </w:r>
          </w:p>
          <w:p w14:paraId="13B91E85">
            <w:pPr>
              <w:shd w:val="clear"/>
              <w:rPr>
                <w:rFonts w:hint="eastAsia" w:ascii="宋体" w:hAnsi="宋体"/>
                <w:sz w:val="24"/>
              </w:rPr>
            </w:pPr>
            <w:r>
              <w:rPr>
                <w:rFonts w:hint="eastAsia" w:ascii="宋体" w:hAnsi="宋体"/>
                <w:sz w:val="24"/>
              </w:rPr>
              <w:t>同一成果参加竞赛，按最高成绩计算，累计加分不超过10分。</w:t>
            </w:r>
          </w:p>
          <w:p w14:paraId="7E296AFB">
            <w:pPr>
              <w:keepNext w:val="0"/>
              <w:keepLines w:val="0"/>
              <w:pageBreakBefore w:val="0"/>
              <w:widowControl w:val="0"/>
              <w:shd w:val="clear"/>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国家级学术科技竞赛项目名单以教务处提供的为准。</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附件4-1</w:t>
            </w:r>
            <w:r>
              <w:rPr>
                <w:rFonts w:hint="eastAsia" w:asciiTheme="minorEastAsia" w:hAnsiTheme="minorEastAsia" w:eastAsiaTheme="minorEastAsia" w:cstheme="minorEastAsia"/>
                <w:sz w:val="24"/>
                <w:lang w:eastAsia="zh-CN"/>
              </w:rPr>
              <w:t>）</w:t>
            </w:r>
          </w:p>
        </w:tc>
      </w:tr>
      <w:tr w14:paraId="35CBE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1" w:hRule="atLeast"/>
          <w:jc w:val="center"/>
        </w:trPr>
        <w:tc>
          <w:tcPr>
            <w:tcW w:w="1751" w:type="dxa"/>
            <w:vAlign w:val="center"/>
          </w:tcPr>
          <w:p w14:paraId="69105D70">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学术研究</w:t>
            </w:r>
          </w:p>
          <w:p w14:paraId="2D90704D">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（5分）</w:t>
            </w:r>
          </w:p>
        </w:tc>
        <w:tc>
          <w:tcPr>
            <w:tcW w:w="7544" w:type="dxa"/>
            <w:gridSpan w:val="2"/>
            <w:vAlign w:val="center"/>
          </w:tcPr>
          <w:p w14:paraId="1672573F">
            <w:pPr>
              <w:widowControl/>
              <w:shd w:val="clear"/>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以主持人（队长）身份申请到大学生创新创业训练计划项目（或大学生创新性实验计划项目）课题结题考核等级为优秀者，按照国家级加3分，省级加2分，校级加1分；以第一作者身份（有共同第一作者时只认定排位第一的作者），文章署名单位为西北农林科技大学，在SCI上发表学术论文每篇加3分，文章必须见刊或在线发表。累计加分不超过5分。</w:t>
            </w:r>
          </w:p>
        </w:tc>
      </w:tr>
      <w:tr w14:paraId="476BB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jc w:val="center"/>
        </w:trPr>
        <w:tc>
          <w:tcPr>
            <w:tcW w:w="1751" w:type="dxa"/>
            <w:vAlign w:val="center"/>
          </w:tcPr>
          <w:p w14:paraId="273A0905">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发明及专利</w:t>
            </w:r>
          </w:p>
          <w:p w14:paraId="41CA93F6">
            <w:pPr>
              <w:widowControl/>
              <w:shd w:val="clear"/>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（5分）</w:t>
            </w:r>
          </w:p>
        </w:tc>
        <w:tc>
          <w:tcPr>
            <w:tcW w:w="7544" w:type="dxa"/>
            <w:gridSpan w:val="2"/>
            <w:vAlign w:val="center"/>
          </w:tcPr>
          <w:p w14:paraId="41EF83BC">
            <w:pPr>
              <w:widowControl/>
              <w:shd w:val="clear"/>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以第一完成人申请并获国家授权发明专利，正式获批科技发明专利每项加1分。累计加分不超过5分。</w:t>
            </w:r>
          </w:p>
        </w:tc>
      </w:tr>
    </w:tbl>
    <w:p w14:paraId="0FDCFEC2">
      <w:pPr>
        <w:widowControl/>
        <w:shd w:val="clear"/>
        <w:snapToGrid w:val="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注：</w:t>
      </w:r>
    </w:p>
    <w:p w14:paraId="43C8497B">
      <w:pPr>
        <w:widowControl/>
        <w:shd w:val="clear"/>
        <w:snapToGrid w:val="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1.科研潜质考核加分项按表格内容加分计算，同一项目加分就高不就低，不重复加分。</w:t>
      </w:r>
    </w:p>
    <w:p w14:paraId="16DF4E52">
      <w:pPr>
        <w:widowControl/>
        <w:shd w:val="clear"/>
        <w:snapToGrid w:val="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2.学生发表的学术论文、获奖成果、国家专利等，都必须是本人在学期间以西北农林科技大学为第一署名单位发表或者获得。学术论文必须公开发表或已收到正式接收函。</w:t>
      </w:r>
    </w:p>
    <w:p w14:paraId="65385CB4">
      <w:pPr>
        <w:widowControl/>
        <w:shd w:val="clear"/>
        <w:snapToGrid w:val="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3.综合发展加分项必须是本人在学校期间获得的荣誉奖励。</w:t>
      </w:r>
    </w:p>
    <w:p w14:paraId="10D36874">
      <w:pPr>
        <w:widowControl/>
        <w:shd w:val="clear"/>
        <w:snapToGrid w:val="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4.所有加分项目以学生提供的证书、论文首页、论文接收函等原件为依据，照片、扫描件、传真件不作为加分依据。</w:t>
      </w:r>
    </w:p>
    <w:p w14:paraId="106F9FDE">
      <w:pPr>
        <w:shd w:val="clea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5.科研加分累计不超过50分。</w:t>
      </w:r>
    </w:p>
    <w:p w14:paraId="014CEE32">
      <w:pPr>
        <w:widowControl/>
        <w:shd w:val="clear"/>
        <w:snapToGrid w:val="0"/>
        <w:spacing w:before="156" w:beforeLines="50" w:after="156" w:afterLines="50" w:line="300" w:lineRule="auto"/>
        <w:jc w:val="left"/>
        <w:rPr>
          <w:rFonts w:hint="default" w:ascii="黑体" w:hAnsi="黑体" w:eastAsia="黑体" w:cs="黑体"/>
          <w:sz w:val="32"/>
          <w:szCs w:val="32"/>
          <w:lang w:val="en-US" w:eastAsia="zh-CN"/>
        </w:rPr>
      </w:pPr>
      <w:bookmarkStart w:id="0" w:name="_GoBack"/>
      <w:bookmarkEnd w:id="0"/>
    </w:p>
    <w:sectPr>
      <w:pgSz w:w="11906" w:h="16838"/>
      <w:pgMar w:top="1417" w:right="1417" w:bottom="130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A98286-0B84-4684-B96D-3F32104ED9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27DDFC7E-DB74-4AD7-B5C3-75DFCB0DFF21}"/>
  </w:font>
  <w:font w:name="方正小标宋简体">
    <w:panose1 w:val="02000000000000000000"/>
    <w:charset w:val="86"/>
    <w:family w:val="auto"/>
    <w:pitch w:val="default"/>
    <w:sig w:usb0="00000001" w:usb1="08000000" w:usb2="00000000" w:usb3="00000000" w:csb0="00040000" w:csb1="00000000"/>
    <w:embedRegular r:id="rId3" w:fontKey="{18E055D7-AE05-404D-8291-A7038C31E7EC}"/>
  </w:font>
  <w:font w:name="仿宋_GB2312">
    <w:panose1 w:val="02010609030101010101"/>
    <w:charset w:val="86"/>
    <w:family w:val="auto"/>
    <w:pitch w:val="default"/>
    <w:sig w:usb0="00000001" w:usb1="080E0000" w:usb2="00000000" w:usb3="00000000" w:csb0="00040000" w:csb1="00000000"/>
    <w:embedRegular r:id="rId4" w:fontKey="{83971101-11D3-46AD-9662-DCD62FCE4A6E}"/>
  </w:font>
  <w:font w:name="WPSEMBED1">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jQzOGJkYTNkNGY0Yjc0NmM4ZTQxYWIzOTZmZDIifQ=="/>
  </w:docVars>
  <w:rsids>
    <w:rsidRoot w:val="63DE42F0"/>
    <w:rsid w:val="003473C0"/>
    <w:rsid w:val="0089265C"/>
    <w:rsid w:val="00ED1FD7"/>
    <w:rsid w:val="06F43030"/>
    <w:rsid w:val="08E45B7E"/>
    <w:rsid w:val="0E105B9A"/>
    <w:rsid w:val="10C015B6"/>
    <w:rsid w:val="152A6E09"/>
    <w:rsid w:val="15676529"/>
    <w:rsid w:val="1715228A"/>
    <w:rsid w:val="1928707D"/>
    <w:rsid w:val="1E5F1C7C"/>
    <w:rsid w:val="21FF3775"/>
    <w:rsid w:val="22CF3E57"/>
    <w:rsid w:val="235D20D1"/>
    <w:rsid w:val="2493413D"/>
    <w:rsid w:val="27F136FF"/>
    <w:rsid w:val="2AB96BA1"/>
    <w:rsid w:val="2B896071"/>
    <w:rsid w:val="2F6E09B8"/>
    <w:rsid w:val="33CE7E8F"/>
    <w:rsid w:val="341A1AD0"/>
    <w:rsid w:val="3B4E6954"/>
    <w:rsid w:val="3F1A4911"/>
    <w:rsid w:val="43FD3546"/>
    <w:rsid w:val="46AF5DDC"/>
    <w:rsid w:val="478A025C"/>
    <w:rsid w:val="4CB4635D"/>
    <w:rsid w:val="5C4A6EEC"/>
    <w:rsid w:val="626C1123"/>
    <w:rsid w:val="63DE42F0"/>
    <w:rsid w:val="659D5881"/>
    <w:rsid w:val="689D59CE"/>
    <w:rsid w:val="696B2DC5"/>
    <w:rsid w:val="69EC5555"/>
    <w:rsid w:val="6AFB2FDC"/>
    <w:rsid w:val="6EE77131"/>
    <w:rsid w:val="78DA1160"/>
    <w:rsid w:val="79DA4020"/>
    <w:rsid w:val="7A35442A"/>
    <w:rsid w:val="7AB00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paragraph" w:customStyle="1" w:styleId="8">
    <w:name w:val="p15"/>
    <w:basedOn w:val="1"/>
    <w:qFormat/>
    <w:uiPriority w:val="0"/>
    <w:pPr>
      <w:widowControl/>
      <w:spacing w:after="120"/>
      <w:ind w:left="420"/>
    </w:pPr>
    <w:rPr>
      <w:kern w:val="0"/>
      <w:szCs w:val="21"/>
    </w:rPr>
  </w:style>
  <w:style w:type="character" w:customStyle="1" w:styleId="9">
    <w:name w:val="批注框文本 Char"/>
    <w:basedOn w:val="6"/>
    <w:link w:val="2"/>
    <w:qFormat/>
    <w:uiPriority w:val="0"/>
    <w:rPr>
      <w:rFonts w:ascii="Times New Roman" w:hAnsi="Times New Roman" w:eastAsia="宋体" w:cs="Times New Roman"/>
      <w:kern w:val="2"/>
      <w:sz w:val="18"/>
      <w:szCs w:val="18"/>
    </w:rPr>
  </w:style>
  <w:style w:type="character" w:customStyle="1" w:styleId="10">
    <w:name w:val="font41"/>
    <w:basedOn w:val="6"/>
    <w:qFormat/>
    <w:uiPriority w:val="0"/>
    <w:rPr>
      <w:rFonts w:hint="eastAsia" w:ascii="宋体" w:hAnsi="宋体" w:eastAsia="宋体" w:cs="宋体"/>
      <w:color w:val="000000"/>
      <w:sz w:val="24"/>
      <w:szCs w:val="24"/>
      <w:u w:val="none"/>
    </w:rPr>
  </w:style>
  <w:style w:type="character" w:customStyle="1" w:styleId="11">
    <w:name w:val="font51"/>
    <w:basedOn w:val="6"/>
    <w:qFormat/>
    <w:uiPriority w:val="0"/>
    <w:rPr>
      <w:rFonts w:hint="eastAsia" w:ascii="宋体" w:hAnsi="宋体" w:eastAsia="宋体" w:cs="宋体"/>
      <w:color w:val="000000"/>
      <w:sz w:val="24"/>
      <w:szCs w:val="24"/>
      <w:u w:val="none"/>
    </w:rPr>
  </w:style>
  <w:style w:type="character" w:customStyle="1" w:styleId="12">
    <w:name w:val="font61"/>
    <w:basedOn w:val="6"/>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2233</Words>
  <Characters>2328</Characters>
  <Lines>17</Lines>
  <Paragraphs>4</Paragraphs>
  <TotalTime>31</TotalTime>
  <ScaleCrop>false</ScaleCrop>
  <LinksUpToDate>false</LinksUpToDate>
  <CharactersWithSpaces>2347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2021-09-03T10:56:00Z</dcterms:created>
  <dc:creator>杨军</dc:creator>
  <cp:lastModifiedBy>JY-IFA</cp:lastModifiedBy>
  <cp:lastPrinted>2021-09-16T03:35:00Z</cp:lastPrinted>
  <dcterms:modified xsi:type="dcterms:W3CDTF">2025-09-10T02:56:26Z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649001DEE37649759AE995191FA19299</vt:lpwstr>
  </property>
  <property fmtid="{D5CDD505-2E9C-101B-9397-08002B2CF9AE}" pid="4" name="KSOTemplateDocerSaveRecord">
    <vt:lpwstr>eyJoZGlkIjoiOWJhYjg3YTMwYTZjYjdhZDllMjQ5NWZhODQwYmM5NDMiLCJ1c2VySWQiOiI4MzI0MDc3In0=</vt:lpwstr>
  </property>
</Properties>
</file>